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99E" w:rsidRDefault="00644457">
      <w:pPr>
        <w:pStyle w:val="BodyText"/>
        <w:spacing w:before="41"/>
        <w:ind w:left="2203" w:right="2201"/>
        <w:jc w:val="center"/>
      </w:pPr>
      <w:r>
        <w:t>No.1/6/2011-IR</w:t>
      </w:r>
    </w:p>
    <w:p w:rsidR="00E8799E" w:rsidRDefault="00644457">
      <w:pPr>
        <w:pStyle w:val="BodyText"/>
        <w:ind w:left="2203" w:right="2201"/>
        <w:jc w:val="center"/>
      </w:pPr>
      <w:r>
        <w:t>Government of India</w:t>
      </w:r>
    </w:p>
    <w:p w:rsidR="00E8799E" w:rsidRDefault="00644457">
      <w:pPr>
        <w:pStyle w:val="BodyText"/>
        <w:ind w:left="2203" w:right="2203"/>
        <w:jc w:val="center"/>
      </w:pPr>
      <w:r>
        <w:t>Ministry of Personnel, Public Grievances &amp; Pensions Department of Personnel &amp; Training</w:t>
      </w:r>
    </w:p>
    <w:p w:rsidR="00E8799E" w:rsidRDefault="00E8799E">
      <w:pPr>
        <w:pStyle w:val="BodyText"/>
        <w:spacing w:before="11"/>
        <w:rPr>
          <w:sz w:val="35"/>
        </w:rPr>
      </w:pPr>
    </w:p>
    <w:p w:rsidR="00E8799E" w:rsidRDefault="00644457">
      <w:pPr>
        <w:pStyle w:val="BodyText"/>
        <w:ind w:left="6730" w:right="214" w:firstLine="252"/>
        <w:jc w:val="right"/>
      </w:pPr>
      <w:r>
        <w:t>North Block, New Delhi Dated the 15</w:t>
      </w:r>
      <w:r>
        <w:rPr>
          <w:vertAlign w:val="superscript"/>
        </w:rPr>
        <w:t>th</w:t>
      </w:r>
      <w:r>
        <w:t xml:space="preserve"> </w:t>
      </w:r>
      <w:proofErr w:type="gramStart"/>
      <w:r>
        <w:t>April,</w:t>
      </w:r>
      <w:proofErr w:type="gramEnd"/>
      <w:r>
        <w:t xml:space="preserve"> 2013</w:t>
      </w:r>
    </w:p>
    <w:p w:rsidR="00E8799E" w:rsidRDefault="00E8799E">
      <w:pPr>
        <w:pStyle w:val="BodyText"/>
        <w:spacing w:before="2"/>
        <w:rPr>
          <w:sz w:val="36"/>
        </w:rPr>
      </w:pPr>
    </w:p>
    <w:p w:rsidR="00E8799E" w:rsidRDefault="00644457">
      <w:pPr>
        <w:pStyle w:val="Heading2"/>
        <w:ind w:left="2203" w:right="2202"/>
        <w:jc w:val="center"/>
      </w:pPr>
      <w:r>
        <w:rPr>
          <w:noProof/>
        </w:rPr>
        <w:drawing>
          <wp:anchor distT="0" distB="0" distL="0" distR="0" simplePos="0" relativeHeight="268422671" behindDoc="1" locked="0" layoutInCell="1" allowOverlap="1">
            <wp:simplePos x="0" y="0"/>
            <wp:positionH relativeFrom="page">
              <wp:posOffset>3016911</wp:posOffset>
            </wp:positionH>
            <wp:positionV relativeFrom="paragraph">
              <wp:posOffset>160093</wp:posOffset>
            </wp:positionV>
            <wp:extent cx="1526740" cy="15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26740" cy="15240"/>
                    </a:xfrm>
                    <a:prstGeom prst="rect">
                      <a:avLst/>
                    </a:prstGeom>
                  </pic:spPr>
                </pic:pic>
              </a:graphicData>
            </a:graphic>
          </wp:anchor>
        </w:drawing>
      </w:r>
      <w:r>
        <w:t>OFFICE MEMORANDUM</w:t>
      </w:r>
    </w:p>
    <w:p w:rsidR="00E8799E" w:rsidRDefault="00E8799E">
      <w:pPr>
        <w:pStyle w:val="BodyText"/>
        <w:spacing w:before="4"/>
        <w:rPr>
          <w:b/>
          <w:sz w:val="28"/>
        </w:rPr>
      </w:pPr>
    </w:p>
    <w:p w:rsidR="00E8799E" w:rsidRDefault="00644457">
      <w:pPr>
        <w:spacing w:before="1" w:line="360" w:lineRule="auto"/>
        <w:ind w:left="220" w:right="246"/>
        <w:jc w:val="both"/>
        <w:rPr>
          <w:b/>
          <w:sz w:val="24"/>
        </w:rPr>
      </w:pPr>
      <w:r>
        <w:rPr>
          <w:b/>
          <w:sz w:val="24"/>
        </w:rPr>
        <w:t xml:space="preserve">Subject: Implementation of </w:t>
      </w:r>
      <w:proofErr w:type="spellStart"/>
      <w:r>
        <w:rPr>
          <w:rFonts w:ascii="Calibri-BoldItalic" w:hAnsi="Calibri-BoldItalic"/>
          <w:b/>
          <w:i/>
          <w:sz w:val="24"/>
        </w:rPr>
        <w:t>suo</w:t>
      </w:r>
      <w:proofErr w:type="spellEnd"/>
      <w:r>
        <w:rPr>
          <w:rFonts w:ascii="Calibri-BoldItalic" w:hAnsi="Calibri-BoldItalic"/>
          <w:b/>
          <w:i/>
          <w:sz w:val="24"/>
        </w:rPr>
        <w:t xml:space="preserve"> </w:t>
      </w:r>
      <w:proofErr w:type="spellStart"/>
      <w:r>
        <w:rPr>
          <w:rFonts w:ascii="Calibri-BoldItalic" w:hAnsi="Calibri-BoldItalic"/>
          <w:b/>
          <w:i/>
          <w:sz w:val="24"/>
        </w:rPr>
        <w:t>motu</w:t>
      </w:r>
      <w:proofErr w:type="spellEnd"/>
      <w:r>
        <w:rPr>
          <w:rFonts w:ascii="Calibri-BoldItalic" w:hAnsi="Calibri-BoldItalic"/>
          <w:b/>
          <w:i/>
          <w:sz w:val="24"/>
        </w:rPr>
        <w:t xml:space="preserve"> </w:t>
      </w:r>
      <w:r>
        <w:rPr>
          <w:b/>
          <w:sz w:val="24"/>
        </w:rPr>
        <w:t>disclosure under Section 4 of RTI Act, 2005 – Issue of guidelines regarding:</w:t>
      </w:r>
    </w:p>
    <w:p w:rsidR="00E8799E" w:rsidRDefault="00644457">
      <w:pPr>
        <w:pStyle w:val="BodyText"/>
        <w:spacing w:line="360" w:lineRule="auto"/>
        <w:ind w:left="220" w:right="213" w:firstLine="719"/>
        <w:jc w:val="both"/>
      </w:pPr>
      <w:bookmarkStart w:id="0" w:name="OLE_LINK5"/>
      <w:bookmarkStart w:id="1" w:name="OLE_LINK6"/>
      <w:r>
        <w:t xml:space="preserve">Section 4(1)(b) of the RTI Act lays down the information which should be </w:t>
      </w:r>
      <w:proofErr w:type="gramStart"/>
      <w:r>
        <w:t>disclosed  by</w:t>
      </w:r>
      <w:proofErr w:type="gramEnd"/>
      <w:r>
        <w:t xml:space="preserve"> Public Authorities on a </w:t>
      </w:r>
      <w:proofErr w:type="spellStart"/>
      <w:r>
        <w:rPr>
          <w:i/>
        </w:rPr>
        <w:t>suo</w:t>
      </w:r>
      <w:proofErr w:type="spellEnd"/>
      <w:r>
        <w:rPr>
          <w:i/>
        </w:rPr>
        <w:t xml:space="preserve"> </w:t>
      </w:r>
      <w:proofErr w:type="spellStart"/>
      <w:r>
        <w:rPr>
          <w:i/>
        </w:rPr>
        <w:t>motu</w:t>
      </w:r>
      <w:proofErr w:type="spellEnd"/>
      <w:r>
        <w:rPr>
          <w:i/>
        </w:rPr>
        <w:t xml:space="preserve"> </w:t>
      </w:r>
      <w:r>
        <w:t>or proactive basis. Section 4(2) and Section 4(3) prescribe</w:t>
      </w:r>
      <w:r>
        <w:t xml:space="preserve"> the method of dissemination of this information. The purpose of </w:t>
      </w:r>
      <w:proofErr w:type="spellStart"/>
      <w:r>
        <w:rPr>
          <w:i/>
        </w:rPr>
        <w:t>suo</w:t>
      </w:r>
      <w:proofErr w:type="spellEnd"/>
      <w:r>
        <w:rPr>
          <w:i/>
        </w:rPr>
        <w:t xml:space="preserve"> </w:t>
      </w:r>
      <w:proofErr w:type="spellStart"/>
      <w:r>
        <w:rPr>
          <w:i/>
        </w:rPr>
        <w:t>motu</w:t>
      </w:r>
      <w:proofErr w:type="spellEnd"/>
      <w:r>
        <w:rPr>
          <w:i/>
        </w:rPr>
        <w:t xml:space="preserve"> </w:t>
      </w:r>
      <w:r>
        <w:t xml:space="preserve">disclosures under Section 4 is to place large amount of information in public domain on a proactive basis to make the functioning of the Public Authorities more transparent and also </w:t>
      </w:r>
      <w:r>
        <w:t>to reduce the need for filing individual RTI</w:t>
      </w:r>
      <w:r>
        <w:rPr>
          <w:spacing w:val="-8"/>
        </w:rPr>
        <w:t xml:space="preserve"> </w:t>
      </w:r>
      <w:r>
        <w:t>applications.</w:t>
      </w:r>
    </w:p>
    <w:bookmarkEnd w:id="0"/>
    <w:bookmarkEnd w:id="1"/>
    <w:p w:rsidR="00E8799E" w:rsidRDefault="00644457">
      <w:pPr>
        <w:pStyle w:val="ListParagraph"/>
        <w:numPr>
          <w:ilvl w:val="0"/>
          <w:numId w:val="9"/>
        </w:numPr>
        <w:tabs>
          <w:tab w:val="left" w:pos="941"/>
        </w:tabs>
        <w:spacing w:before="199" w:line="360" w:lineRule="auto"/>
        <w:ind w:right="215" w:firstLine="0"/>
        <w:jc w:val="both"/>
        <w:rPr>
          <w:sz w:val="24"/>
        </w:rPr>
      </w:pPr>
      <w:r>
        <w:rPr>
          <w:sz w:val="24"/>
        </w:rPr>
        <w:t>Since the promulgation of the Act in 2005, large amount of information relating to functioning of the government is being put in public domain. However, the quality and quantity of proactive disclo</w:t>
      </w:r>
      <w:r>
        <w:rPr>
          <w:sz w:val="24"/>
        </w:rPr>
        <w:t>sure is not up to the desired level. It was felt that the weak implementation of the Section 4 of the RTI Act is partly due to the fact that certain provisions of this Section have not been fully detailed and, in case of certain other provisions there is n</w:t>
      </w:r>
      <w:r>
        <w:rPr>
          <w:sz w:val="24"/>
        </w:rPr>
        <w:t>eed for laying down detailed guidelines. Further there is need to set up a compliance mechanism to ensure that requirements under section 4 of the RTI Act are met.</w:t>
      </w:r>
    </w:p>
    <w:p w:rsidR="00E8799E" w:rsidRDefault="00644457">
      <w:pPr>
        <w:pStyle w:val="ListParagraph"/>
        <w:numPr>
          <w:ilvl w:val="0"/>
          <w:numId w:val="9"/>
        </w:numPr>
        <w:tabs>
          <w:tab w:val="left" w:pos="941"/>
        </w:tabs>
        <w:spacing w:before="201" w:line="360" w:lineRule="auto"/>
        <w:ind w:right="212" w:firstLine="0"/>
        <w:jc w:val="both"/>
        <w:rPr>
          <w:sz w:val="24"/>
        </w:rPr>
      </w:pPr>
      <w:r>
        <w:rPr>
          <w:sz w:val="24"/>
        </w:rPr>
        <w:t xml:space="preserve">In order to address the above, Government of India constituted a Task Force on </w:t>
      </w:r>
      <w:proofErr w:type="spellStart"/>
      <w:r>
        <w:rPr>
          <w:i/>
          <w:sz w:val="24"/>
        </w:rPr>
        <w:t>suo</w:t>
      </w:r>
      <w:proofErr w:type="spellEnd"/>
      <w:r>
        <w:rPr>
          <w:i/>
          <w:sz w:val="24"/>
        </w:rPr>
        <w:t xml:space="preserve"> </w:t>
      </w:r>
      <w:proofErr w:type="spellStart"/>
      <w:r>
        <w:rPr>
          <w:i/>
          <w:sz w:val="24"/>
        </w:rPr>
        <w:t>motu</w:t>
      </w:r>
      <w:proofErr w:type="spellEnd"/>
      <w:r>
        <w:rPr>
          <w:i/>
          <w:sz w:val="24"/>
        </w:rPr>
        <w:t xml:space="preserve"> </w:t>
      </w:r>
      <w:r>
        <w:rPr>
          <w:sz w:val="24"/>
        </w:rPr>
        <w:t xml:space="preserve">disclosure under the RTI Act, 2005 in May 2011 which included representatives of civil society organizations active in the field of Right to Information, for strengthening compliance with provisions for </w:t>
      </w:r>
      <w:proofErr w:type="spellStart"/>
      <w:r>
        <w:rPr>
          <w:i/>
          <w:sz w:val="24"/>
        </w:rPr>
        <w:t>suo</w:t>
      </w:r>
      <w:proofErr w:type="spellEnd"/>
      <w:r>
        <w:rPr>
          <w:i/>
          <w:sz w:val="24"/>
        </w:rPr>
        <w:t xml:space="preserve"> </w:t>
      </w:r>
      <w:proofErr w:type="spellStart"/>
      <w:r>
        <w:rPr>
          <w:i/>
          <w:sz w:val="24"/>
        </w:rPr>
        <w:t>motu</w:t>
      </w:r>
      <w:proofErr w:type="spellEnd"/>
      <w:r>
        <w:rPr>
          <w:i/>
          <w:sz w:val="24"/>
        </w:rPr>
        <w:t xml:space="preserve"> </w:t>
      </w:r>
      <w:r>
        <w:rPr>
          <w:sz w:val="24"/>
        </w:rPr>
        <w:t xml:space="preserve">or proactive disclosure as given in Section </w:t>
      </w:r>
      <w:r>
        <w:rPr>
          <w:sz w:val="24"/>
        </w:rPr>
        <w:t xml:space="preserve">4 of the RTI Act, 2005. Based on the report of the Task Force, the Government have decided to issue guidelines for </w:t>
      </w:r>
      <w:proofErr w:type="spellStart"/>
      <w:r>
        <w:rPr>
          <w:i/>
          <w:sz w:val="24"/>
        </w:rPr>
        <w:t>suo</w:t>
      </w:r>
      <w:proofErr w:type="spellEnd"/>
      <w:r>
        <w:rPr>
          <w:i/>
          <w:sz w:val="24"/>
        </w:rPr>
        <w:t xml:space="preserve"> </w:t>
      </w:r>
      <w:proofErr w:type="spellStart"/>
      <w:r>
        <w:rPr>
          <w:i/>
          <w:sz w:val="24"/>
        </w:rPr>
        <w:t>motu</w:t>
      </w:r>
      <w:proofErr w:type="spellEnd"/>
      <w:r>
        <w:rPr>
          <w:i/>
          <w:sz w:val="24"/>
        </w:rPr>
        <w:t xml:space="preserve"> </w:t>
      </w:r>
      <w:r>
        <w:rPr>
          <w:sz w:val="24"/>
        </w:rPr>
        <w:t>disclosure under section 4 of the RTI</w:t>
      </w:r>
      <w:r>
        <w:rPr>
          <w:spacing w:val="-9"/>
          <w:sz w:val="24"/>
        </w:rPr>
        <w:t xml:space="preserve"> </w:t>
      </w:r>
      <w:r>
        <w:rPr>
          <w:sz w:val="24"/>
        </w:rPr>
        <w:t>Act.</w:t>
      </w:r>
    </w:p>
    <w:p w:rsidR="00E8799E" w:rsidRDefault="00E8799E">
      <w:pPr>
        <w:pStyle w:val="BodyText"/>
        <w:rPr>
          <w:sz w:val="20"/>
        </w:rPr>
      </w:pPr>
    </w:p>
    <w:p w:rsidR="00E8799E" w:rsidRDefault="00E8799E">
      <w:pPr>
        <w:pStyle w:val="BodyText"/>
        <w:rPr>
          <w:sz w:val="20"/>
        </w:rPr>
      </w:pPr>
    </w:p>
    <w:p w:rsidR="00E8799E" w:rsidRDefault="00E8799E">
      <w:pPr>
        <w:pStyle w:val="BodyText"/>
        <w:spacing w:before="6"/>
        <w:rPr>
          <w:sz w:val="21"/>
        </w:rPr>
      </w:pPr>
    </w:p>
    <w:p w:rsidR="00E8799E" w:rsidRDefault="00644457">
      <w:pPr>
        <w:spacing w:before="57"/>
        <w:ind w:right="215"/>
        <w:jc w:val="right"/>
      </w:pPr>
      <w:proofErr w:type="spellStart"/>
      <w:r>
        <w:t>i</w:t>
      </w:r>
      <w:proofErr w:type="spellEnd"/>
    </w:p>
    <w:p w:rsidR="00E8799E" w:rsidRDefault="00E8799E">
      <w:pPr>
        <w:jc w:val="right"/>
        <w:sectPr w:rsidR="00E8799E">
          <w:type w:val="continuous"/>
          <w:pgSz w:w="11910" w:h="16840"/>
          <w:pgMar w:top="1380" w:right="1220" w:bottom="280" w:left="1220" w:header="720" w:footer="720" w:gutter="0"/>
          <w:cols w:space="720"/>
        </w:sectPr>
      </w:pPr>
    </w:p>
    <w:p w:rsidR="00E8799E" w:rsidRDefault="00E8799E">
      <w:pPr>
        <w:pStyle w:val="BodyText"/>
        <w:rPr>
          <w:sz w:val="20"/>
        </w:rPr>
      </w:pPr>
    </w:p>
    <w:p w:rsidR="00E8799E" w:rsidRDefault="00E8799E">
      <w:pPr>
        <w:pStyle w:val="BodyText"/>
        <w:rPr>
          <w:sz w:val="20"/>
        </w:rPr>
      </w:pPr>
    </w:p>
    <w:p w:rsidR="00E8799E" w:rsidRDefault="00E8799E">
      <w:pPr>
        <w:pStyle w:val="BodyText"/>
        <w:spacing w:before="10"/>
        <w:rPr>
          <w:sz w:val="29"/>
        </w:rPr>
      </w:pPr>
    </w:p>
    <w:p w:rsidR="00E8799E" w:rsidRDefault="00644457">
      <w:pPr>
        <w:pStyle w:val="ListParagraph"/>
        <w:numPr>
          <w:ilvl w:val="0"/>
          <w:numId w:val="9"/>
        </w:numPr>
        <w:tabs>
          <w:tab w:val="left" w:pos="1472"/>
          <w:tab w:val="left" w:pos="1473"/>
        </w:tabs>
        <w:spacing w:before="95"/>
        <w:ind w:left="1472" w:hanging="527"/>
        <w:jc w:val="left"/>
        <w:rPr>
          <w:rFonts w:ascii="Arial"/>
          <w:color w:val="3D3D3D"/>
          <w:sz w:val="16"/>
        </w:rPr>
      </w:pPr>
      <w:r>
        <w:rPr>
          <w:rFonts w:ascii="Arial"/>
          <w:color w:val="3D3D3D"/>
          <w:w w:val="105"/>
          <w:sz w:val="16"/>
        </w:rPr>
        <w:t>Guidelines for Central Government Ministries/Departments are</w:t>
      </w:r>
      <w:r>
        <w:rPr>
          <w:rFonts w:ascii="Arial"/>
          <w:color w:val="3D3D3D"/>
          <w:spacing w:val="-17"/>
          <w:w w:val="105"/>
          <w:sz w:val="16"/>
        </w:rPr>
        <w:t xml:space="preserve"> </w:t>
      </w:r>
      <w:r>
        <w:rPr>
          <w:rFonts w:ascii="Arial"/>
          <w:color w:val="3D3D3D"/>
          <w:w w:val="105"/>
          <w:sz w:val="16"/>
        </w:rPr>
        <w:t>on:</w:t>
      </w:r>
    </w:p>
    <w:p w:rsidR="00E8799E" w:rsidRDefault="00644457">
      <w:pPr>
        <w:pStyle w:val="ListParagraph"/>
        <w:numPr>
          <w:ilvl w:val="1"/>
          <w:numId w:val="9"/>
        </w:numPr>
        <w:tabs>
          <w:tab w:val="left" w:pos="2008"/>
          <w:tab w:val="left" w:pos="2009"/>
        </w:tabs>
        <w:spacing w:before="139"/>
        <w:ind w:hanging="354"/>
        <w:jc w:val="left"/>
        <w:rPr>
          <w:rFonts w:ascii="Arial"/>
          <w:sz w:val="16"/>
        </w:rPr>
      </w:pPr>
      <w:proofErr w:type="spellStart"/>
      <w:r>
        <w:rPr>
          <w:rFonts w:ascii="Times New Roman"/>
          <w:i/>
          <w:color w:val="3D3D3D"/>
          <w:sz w:val="19"/>
        </w:rPr>
        <w:t>Suo</w:t>
      </w:r>
      <w:proofErr w:type="spellEnd"/>
      <w:r>
        <w:rPr>
          <w:rFonts w:ascii="Times New Roman"/>
          <w:i/>
          <w:color w:val="3D3D3D"/>
          <w:sz w:val="19"/>
        </w:rPr>
        <w:t xml:space="preserve"> </w:t>
      </w:r>
      <w:proofErr w:type="spellStart"/>
      <w:r>
        <w:rPr>
          <w:rFonts w:ascii="Times New Roman"/>
          <w:i/>
          <w:color w:val="3D3D3D"/>
          <w:sz w:val="19"/>
        </w:rPr>
        <w:t>motu</w:t>
      </w:r>
      <w:proofErr w:type="spellEnd"/>
      <w:r>
        <w:rPr>
          <w:rFonts w:ascii="Times New Roman"/>
          <w:i/>
          <w:color w:val="3D3D3D"/>
          <w:sz w:val="19"/>
        </w:rPr>
        <w:t xml:space="preserve"> </w:t>
      </w:r>
      <w:r>
        <w:rPr>
          <w:rFonts w:ascii="Arial"/>
          <w:color w:val="3D3D3D"/>
          <w:sz w:val="16"/>
        </w:rPr>
        <w:t>disclosure of more items under Section</w:t>
      </w:r>
      <w:r>
        <w:rPr>
          <w:rFonts w:ascii="Arial"/>
          <w:color w:val="3D3D3D"/>
          <w:spacing w:val="6"/>
          <w:sz w:val="16"/>
        </w:rPr>
        <w:t xml:space="preserve"> </w:t>
      </w:r>
      <w:r>
        <w:rPr>
          <w:rFonts w:ascii="Arial"/>
          <w:color w:val="3D3D3D"/>
          <w:sz w:val="16"/>
        </w:rPr>
        <w:t>4.</w:t>
      </w:r>
    </w:p>
    <w:p w:rsidR="00E8799E" w:rsidRDefault="00644457">
      <w:pPr>
        <w:pStyle w:val="ListParagraph"/>
        <w:numPr>
          <w:ilvl w:val="1"/>
          <w:numId w:val="9"/>
        </w:numPr>
        <w:tabs>
          <w:tab w:val="left" w:pos="2011"/>
          <w:tab w:val="left" w:pos="2012"/>
        </w:tabs>
        <w:spacing w:before="155"/>
        <w:ind w:left="2011" w:hanging="401"/>
        <w:jc w:val="left"/>
        <w:rPr>
          <w:rFonts w:ascii="Arial"/>
          <w:sz w:val="16"/>
        </w:rPr>
      </w:pPr>
      <w:r>
        <w:rPr>
          <w:rFonts w:ascii="Arial"/>
          <w:color w:val="3D3D3D"/>
          <w:w w:val="105"/>
          <w:sz w:val="16"/>
        </w:rPr>
        <w:t>Guidelines for digital publication of proactive disclosure under Section</w:t>
      </w:r>
      <w:r>
        <w:rPr>
          <w:rFonts w:ascii="Arial"/>
          <w:color w:val="3D3D3D"/>
          <w:spacing w:val="8"/>
          <w:w w:val="105"/>
          <w:sz w:val="16"/>
        </w:rPr>
        <w:t xml:space="preserve"> </w:t>
      </w:r>
      <w:r>
        <w:rPr>
          <w:rFonts w:ascii="Arial"/>
          <w:color w:val="3D3D3D"/>
          <w:w w:val="105"/>
          <w:sz w:val="16"/>
        </w:rPr>
        <w:t>4.</w:t>
      </w:r>
    </w:p>
    <w:p w:rsidR="00E8799E" w:rsidRDefault="00E8799E">
      <w:pPr>
        <w:pStyle w:val="BodyText"/>
        <w:spacing w:before="1"/>
        <w:rPr>
          <w:rFonts w:ascii="Arial"/>
          <w:sz w:val="14"/>
        </w:rPr>
      </w:pPr>
    </w:p>
    <w:p w:rsidR="00E8799E" w:rsidRDefault="00644457">
      <w:pPr>
        <w:pStyle w:val="ListParagraph"/>
        <w:numPr>
          <w:ilvl w:val="1"/>
          <w:numId w:val="9"/>
        </w:numPr>
        <w:tabs>
          <w:tab w:val="left" w:pos="2002"/>
          <w:tab w:val="left" w:pos="2003"/>
        </w:tabs>
        <w:ind w:left="2002" w:hanging="436"/>
        <w:jc w:val="left"/>
        <w:rPr>
          <w:rFonts w:ascii="Arial"/>
          <w:sz w:val="16"/>
        </w:rPr>
      </w:pPr>
      <w:r>
        <w:rPr>
          <w:rFonts w:ascii="Arial"/>
          <w:color w:val="3D3D3D"/>
          <w:sz w:val="16"/>
        </w:rPr>
        <w:t>Detailing of Section 4(1)(b)(iii), 4(1)(b)(iv), 4(1)(b)(xi) and</w:t>
      </w:r>
      <w:r>
        <w:rPr>
          <w:rFonts w:ascii="Arial"/>
          <w:color w:val="3D3D3D"/>
          <w:spacing w:val="5"/>
          <w:sz w:val="16"/>
        </w:rPr>
        <w:t xml:space="preserve"> </w:t>
      </w:r>
      <w:r>
        <w:rPr>
          <w:rFonts w:ascii="Arial"/>
          <w:color w:val="3D3D3D"/>
          <w:sz w:val="16"/>
        </w:rPr>
        <w:t>4(1)(b)(xiv)</w:t>
      </w:r>
    </w:p>
    <w:p w:rsidR="00E8799E" w:rsidRDefault="00644457">
      <w:pPr>
        <w:pStyle w:val="ListParagraph"/>
        <w:numPr>
          <w:ilvl w:val="1"/>
          <w:numId w:val="9"/>
        </w:numPr>
        <w:tabs>
          <w:tab w:val="left" w:pos="2011"/>
          <w:tab w:val="left" w:pos="2012"/>
        </w:tabs>
        <w:spacing w:before="140" w:line="417" w:lineRule="auto"/>
        <w:ind w:right="1774" w:hanging="436"/>
        <w:jc w:val="left"/>
        <w:rPr>
          <w:rFonts w:ascii="Times New Roman"/>
          <w:sz w:val="17"/>
        </w:rPr>
      </w:pPr>
      <w:r>
        <w:rPr>
          <w:rFonts w:ascii="Arial"/>
          <w:color w:val="3D3D3D"/>
          <w:sz w:val="16"/>
        </w:rPr>
        <w:t xml:space="preserve">Compliance mechanism for </w:t>
      </w:r>
      <w:proofErr w:type="spellStart"/>
      <w:r>
        <w:rPr>
          <w:rFonts w:ascii="Times New Roman"/>
          <w:i/>
          <w:color w:val="3D3D3D"/>
          <w:sz w:val="19"/>
        </w:rPr>
        <w:t>suo</w:t>
      </w:r>
      <w:proofErr w:type="spellEnd"/>
      <w:r>
        <w:rPr>
          <w:rFonts w:ascii="Times New Roman"/>
          <w:i/>
          <w:color w:val="3D3D3D"/>
          <w:sz w:val="19"/>
        </w:rPr>
        <w:t xml:space="preserve"> </w:t>
      </w:r>
      <w:proofErr w:type="spellStart"/>
      <w:r>
        <w:rPr>
          <w:rFonts w:ascii="Times New Roman"/>
          <w:i/>
          <w:color w:val="3D3D3D"/>
          <w:sz w:val="19"/>
        </w:rPr>
        <w:t>motu</w:t>
      </w:r>
      <w:proofErr w:type="spellEnd"/>
      <w:r>
        <w:rPr>
          <w:rFonts w:ascii="Times New Roman"/>
          <w:i/>
          <w:color w:val="3D3D3D"/>
          <w:sz w:val="19"/>
        </w:rPr>
        <w:t xml:space="preserve"> </w:t>
      </w:r>
      <w:r>
        <w:rPr>
          <w:rFonts w:ascii="Arial"/>
          <w:color w:val="3D3D3D"/>
          <w:sz w:val="16"/>
        </w:rPr>
        <w:t xml:space="preserve">disclosure (proactive disclosure) under the RTI Act, </w:t>
      </w:r>
      <w:r>
        <w:rPr>
          <w:rFonts w:ascii="Times New Roman"/>
          <w:color w:val="3D3D3D"/>
          <w:sz w:val="17"/>
        </w:rPr>
        <w:t>2005.</w:t>
      </w:r>
    </w:p>
    <w:p w:rsidR="00E8799E" w:rsidRDefault="00644457">
      <w:pPr>
        <w:pStyle w:val="ListParagraph"/>
        <w:numPr>
          <w:ilvl w:val="0"/>
          <w:numId w:val="9"/>
        </w:numPr>
        <w:tabs>
          <w:tab w:val="left" w:pos="1464"/>
        </w:tabs>
        <w:spacing w:before="80" w:line="458" w:lineRule="auto"/>
        <w:ind w:left="928" w:right="1766" w:firstLine="8"/>
        <w:jc w:val="both"/>
        <w:rPr>
          <w:rFonts w:ascii="Arial"/>
          <w:color w:val="3D3D3D"/>
          <w:sz w:val="16"/>
        </w:rPr>
      </w:pPr>
      <w:bookmarkStart w:id="2" w:name="OLE_LINK7"/>
      <w:bookmarkStart w:id="3" w:name="OLE_LINK8"/>
      <w:r>
        <w:rPr>
          <w:rFonts w:ascii="Arial"/>
          <w:color w:val="3D3D3D"/>
          <w:sz w:val="16"/>
        </w:rPr>
        <w:t>The above guidelines are enclosed. However, it may be kept in mind that proactive disclosure should be done in the local language so that it remains accessible to public.  It should be presented in</w:t>
      </w:r>
      <w:r>
        <w:rPr>
          <w:rFonts w:ascii="Arial"/>
          <w:color w:val="3D3D3D"/>
          <w:sz w:val="16"/>
        </w:rPr>
        <w:t xml:space="preserve"> a form that is easily understood and if technical words are used they should be carefully explained. As provided in section 4, disclosure </w:t>
      </w:r>
      <w:proofErr w:type="gramStart"/>
      <w:r>
        <w:rPr>
          <w:rFonts w:ascii="Arial"/>
          <w:color w:val="3D3D3D"/>
          <w:sz w:val="16"/>
        </w:rPr>
        <w:t>should  be</w:t>
      </w:r>
      <w:proofErr w:type="gramEnd"/>
      <w:r>
        <w:rPr>
          <w:rFonts w:ascii="Arial"/>
          <w:color w:val="3D3D3D"/>
          <w:sz w:val="16"/>
        </w:rPr>
        <w:t xml:space="preserve">  made  in as many mediums as feasible and disclosures should be kept up to date. The disclosure of Informa</w:t>
      </w:r>
      <w:r>
        <w:rPr>
          <w:rFonts w:ascii="Arial"/>
          <w:color w:val="3D3D3D"/>
          <w:sz w:val="16"/>
        </w:rPr>
        <w:t>tion may be made keeping in mind the provisions of Section 8 to 11 of the RTI</w:t>
      </w:r>
      <w:r>
        <w:rPr>
          <w:rFonts w:ascii="Arial"/>
          <w:color w:val="3D3D3D"/>
          <w:spacing w:val="31"/>
          <w:sz w:val="16"/>
        </w:rPr>
        <w:t xml:space="preserve"> </w:t>
      </w:r>
      <w:r>
        <w:rPr>
          <w:rFonts w:ascii="Arial"/>
          <w:color w:val="3D3D3D"/>
          <w:sz w:val="16"/>
        </w:rPr>
        <w:t>Act.</w:t>
      </w:r>
    </w:p>
    <w:bookmarkEnd w:id="2"/>
    <w:bookmarkEnd w:id="3"/>
    <w:p w:rsidR="00E8799E" w:rsidRDefault="00E8799E">
      <w:pPr>
        <w:pStyle w:val="BodyText"/>
        <w:rPr>
          <w:rFonts w:ascii="Arial"/>
          <w:sz w:val="17"/>
        </w:rPr>
      </w:pPr>
    </w:p>
    <w:p w:rsidR="00E8799E" w:rsidRDefault="00644457">
      <w:pPr>
        <w:pStyle w:val="ListParagraph"/>
        <w:numPr>
          <w:ilvl w:val="0"/>
          <w:numId w:val="9"/>
        </w:numPr>
        <w:tabs>
          <w:tab w:val="left" w:pos="1468"/>
          <w:tab w:val="left" w:pos="1469"/>
        </w:tabs>
        <w:spacing w:line="415" w:lineRule="auto"/>
        <w:ind w:left="937" w:right="1780" w:hanging="1"/>
        <w:jc w:val="left"/>
        <w:rPr>
          <w:rFonts w:ascii="Arial"/>
          <w:color w:val="3D3D3D"/>
          <w:sz w:val="16"/>
        </w:rPr>
      </w:pPr>
      <w:r>
        <w:rPr>
          <w:rFonts w:ascii="Arial"/>
          <w:color w:val="3D3D3D"/>
          <w:sz w:val="16"/>
        </w:rPr>
        <w:t xml:space="preserve">Central Government Ministries/ Departments should undertake </w:t>
      </w:r>
      <w:proofErr w:type="spellStart"/>
      <w:r>
        <w:rPr>
          <w:rFonts w:ascii="Times New Roman"/>
          <w:i/>
          <w:color w:val="3D3D3D"/>
          <w:sz w:val="19"/>
        </w:rPr>
        <w:t>suo</w:t>
      </w:r>
      <w:proofErr w:type="spellEnd"/>
      <w:r>
        <w:rPr>
          <w:rFonts w:ascii="Times New Roman"/>
          <w:i/>
          <w:color w:val="3D3D3D"/>
          <w:sz w:val="19"/>
        </w:rPr>
        <w:t xml:space="preserve"> </w:t>
      </w:r>
      <w:proofErr w:type="spellStart"/>
      <w:r>
        <w:rPr>
          <w:rFonts w:ascii="Times New Roman"/>
          <w:i/>
          <w:color w:val="3D3D3D"/>
          <w:sz w:val="19"/>
        </w:rPr>
        <w:t>motu</w:t>
      </w:r>
      <w:proofErr w:type="spellEnd"/>
      <w:r>
        <w:rPr>
          <w:rFonts w:ascii="Times New Roman"/>
          <w:i/>
          <w:color w:val="3D3D3D"/>
          <w:sz w:val="19"/>
        </w:rPr>
        <w:t xml:space="preserve"> </w:t>
      </w:r>
      <w:r>
        <w:rPr>
          <w:rFonts w:ascii="Arial"/>
          <w:color w:val="3D3D3D"/>
          <w:sz w:val="16"/>
        </w:rPr>
        <w:t>disclosure and ensure compliance based on these</w:t>
      </w:r>
      <w:r>
        <w:rPr>
          <w:rFonts w:ascii="Arial"/>
          <w:color w:val="3D3D3D"/>
          <w:spacing w:val="-1"/>
          <w:sz w:val="16"/>
        </w:rPr>
        <w:t xml:space="preserve"> </w:t>
      </w:r>
      <w:r>
        <w:rPr>
          <w:rFonts w:ascii="Arial"/>
          <w:color w:val="3D3D3D"/>
          <w:sz w:val="16"/>
        </w:rPr>
        <w:t>guidelines.</w:t>
      </w:r>
    </w:p>
    <w:p w:rsidR="00E8799E" w:rsidRDefault="00E8799E">
      <w:pPr>
        <w:pStyle w:val="BodyText"/>
        <w:spacing w:before="6"/>
        <w:rPr>
          <w:rFonts w:ascii="Arial"/>
          <w:sz w:val="19"/>
        </w:rPr>
      </w:pPr>
    </w:p>
    <w:p w:rsidR="00E8799E" w:rsidRDefault="00644457">
      <w:pPr>
        <w:pStyle w:val="ListParagraph"/>
        <w:numPr>
          <w:ilvl w:val="0"/>
          <w:numId w:val="9"/>
        </w:numPr>
        <w:tabs>
          <w:tab w:val="left" w:pos="1463"/>
          <w:tab w:val="left" w:pos="1464"/>
        </w:tabs>
        <w:ind w:left="1463" w:hanging="528"/>
        <w:jc w:val="left"/>
        <w:rPr>
          <w:rFonts w:ascii="Arial"/>
          <w:color w:val="3D3D3D"/>
          <w:sz w:val="16"/>
        </w:rPr>
      </w:pPr>
      <w:r>
        <w:rPr>
          <w:rFonts w:ascii="Arial"/>
          <w:color w:val="3D3D3D"/>
          <w:w w:val="105"/>
          <w:sz w:val="16"/>
        </w:rPr>
        <w:t xml:space="preserve">The enclosed guidelines may be brought to </w:t>
      </w:r>
      <w:r>
        <w:rPr>
          <w:rFonts w:ascii="Arial"/>
          <w:color w:val="3D3D3D"/>
          <w:w w:val="105"/>
          <w:sz w:val="16"/>
        </w:rPr>
        <w:t>the notice of all for</w:t>
      </w:r>
      <w:r>
        <w:rPr>
          <w:rFonts w:ascii="Arial"/>
          <w:color w:val="3D3D3D"/>
          <w:spacing w:val="-14"/>
          <w:w w:val="105"/>
          <w:sz w:val="16"/>
        </w:rPr>
        <w:t xml:space="preserve"> </w:t>
      </w:r>
      <w:r>
        <w:rPr>
          <w:rFonts w:ascii="Arial"/>
          <w:color w:val="3D3D3D"/>
          <w:w w:val="105"/>
          <w:sz w:val="16"/>
        </w:rPr>
        <w:t>compliance.</w:t>
      </w:r>
    </w:p>
    <w:p w:rsidR="00E8799E" w:rsidRDefault="00E8799E">
      <w:pPr>
        <w:pStyle w:val="BodyText"/>
        <w:spacing w:before="3"/>
        <w:rPr>
          <w:rFonts w:ascii="Arial"/>
        </w:rPr>
      </w:pPr>
    </w:p>
    <w:p w:rsidR="00E8799E" w:rsidRDefault="008B671F">
      <w:pPr>
        <w:spacing w:before="109" w:line="307" w:lineRule="auto"/>
        <w:ind w:left="6164" w:right="2139" w:hanging="1"/>
        <w:jc w:val="center"/>
        <w:rPr>
          <w:rFonts w:ascii="Times New Roman"/>
          <w:sz w:val="17"/>
        </w:rPr>
      </w:pPr>
      <w:r>
        <w:rPr>
          <w:rFonts w:ascii="Arial"/>
          <w:color w:val="3D3D3D"/>
          <w:sz w:val="16"/>
        </w:rPr>
        <w:t xml:space="preserve"> </w:t>
      </w:r>
      <w:r w:rsidR="00644457">
        <w:rPr>
          <w:rFonts w:ascii="Arial"/>
          <w:color w:val="3D3D3D"/>
          <w:sz w:val="16"/>
        </w:rPr>
        <w:t>(</w:t>
      </w:r>
      <w:proofErr w:type="spellStart"/>
      <w:r w:rsidR="00644457">
        <w:rPr>
          <w:rFonts w:ascii="Arial"/>
          <w:color w:val="3D3D3D"/>
          <w:sz w:val="16"/>
        </w:rPr>
        <w:t>Manoj</w:t>
      </w:r>
      <w:proofErr w:type="spellEnd"/>
      <w:r w:rsidR="00644457">
        <w:rPr>
          <w:rFonts w:ascii="Arial"/>
          <w:color w:val="3D3D3D"/>
          <w:sz w:val="16"/>
        </w:rPr>
        <w:t xml:space="preserve"> Joshi) Joint Secretary </w:t>
      </w:r>
      <w:proofErr w:type="gramStart"/>
      <w:r w:rsidR="00644457">
        <w:rPr>
          <w:rFonts w:ascii="Arial"/>
          <w:color w:val="3D3D3D"/>
          <w:sz w:val="16"/>
        </w:rPr>
        <w:t>Tele :</w:t>
      </w:r>
      <w:proofErr w:type="gramEnd"/>
      <w:r w:rsidR="00644457">
        <w:rPr>
          <w:rFonts w:ascii="Arial"/>
          <w:color w:val="3D3D3D"/>
          <w:sz w:val="16"/>
        </w:rPr>
        <w:t xml:space="preserve"> </w:t>
      </w:r>
      <w:r w:rsidR="00644457">
        <w:rPr>
          <w:rFonts w:ascii="Times New Roman"/>
          <w:color w:val="3D3D3D"/>
          <w:sz w:val="17"/>
        </w:rPr>
        <w:t>23093668</w:t>
      </w:r>
    </w:p>
    <w:p w:rsidR="00E8799E" w:rsidRDefault="00E8799E">
      <w:pPr>
        <w:pStyle w:val="BodyText"/>
        <w:rPr>
          <w:rFonts w:ascii="Times New Roman"/>
          <w:sz w:val="20"/>
        </w:rPr>
      </w:pPr>
    </w:p>
    <w:p w:rsidR="00E8799E" w:rsidRDefault="00644457">
      <w:pPr>
        <w:pStyle w:val="ListParagraph"/>
        <w:numPr>
          <w:ilvl w:val="0"/>
          <w:numId w:val="8"/>
        </w:numPr>
        <w:tabs>
          <w:tab w:val="left" w:pos="1467"/>
          <w:tab w:val="left" w:pos="1468"/>
        </w:tabs>
        <w:spacing w:before="1"/>
        <w:ind w:hanging="538"/>
        <w:rPr>
          <w:rFonts w:ascii="Arial"/>
          <w:sz w:val="16"/>
        </w:rPr>
      </w:pPr>
      <w:r>
        <w:rPr>
          <w:rFonts w:ascii="Arial"/>
          <w:color w:val="3D3D3D"/>
          <w:w w:val="105"/>
          <w:sz w:val="16"/>
        </w:rPr>
        <w:t>All the Ministries/Departments of the Government of</w:t>
      </w:r>
      <w:r>
        <w:rPr>
          <w:rFonts w:ascii="Arial"/>
          <w:color w:val="3D3D3D"/>
          <w:spacing w:val="-11"/>
          <w:w w:val="105"/>
          <w:sz w:val="16"/>
        </w:rPr>
        <w:t xml:space="preserve"> </w:t>
      </w:r>
      <w:r>
        <w:rPr>
          <w:rFonts w:ascii="Arial"/>
          <w:color w:val="3D3D3D"/>
          <w:w w:val="105"/>
          <w:sz w:val="16"/>
        </w:rPr>
        <w:t>India</w:t>
      </w:r>
    </w:p>
    <w:p w:rsidR="00E8799E" w:rsidRDefault="00644457">
      <w:pPr>
        <w:pStyle w:val="ListParagraph"/>
        <w:numPr>
          <w:ilvl w:val="0"/>
          <w:numId w:val="8"/>
        </w:numPr>
        <w:tabs>
          <w:tab w:val="left" w:pos="1508"/>
        </w:tabs>
        <w:spacing w:before="51" w:line="300" w:lineRule="auto"/>
        <w:ind w:right="1773" w:hanging="525"/>
        <w:jc w:val="both"/>
        <w:rPr>
          <w:rFonts w:ascii="Arial" w:hAnsi="Arial"/>
          <w:sz w:val="16"/>
        </w:rPr>
      </w:pPr>
      <w:r>
        <w:rPr>
          <w:rFonts w:ascii="Arial" w:hAnsi="Arial"/>
          <w:color w:val="3D3D3D"/>
          <w:sz w:val="16"/>
        </w:rPr>
        <w:t xml:space="preserve">Union Public Service Commission, </w:t>
      </w:r>
      <w:proofErr w:type="spellStart"/>
      <w:r>
        <w:rPr>
          <w:rFonts w:ascii="Arial" w:hAnsi="Arial"/>
          <w:color w:val="3D3D3D"/>
          <w:sz w:val="16"/>
        </w:rPr>
        <w:t>Lok</w:t>
      </w:r>
      <w:proofErr w:type="spellEnd"/>
      <w:r>
        <w:rPr>
          <w:rFonts w:ascii="Arial" w:hAnsi="Arial"/>
          <w:color w:val="3D3D3D"/>
          <w:sz w:val="16"/>
        </w:rPr>
        <w:t xml:space="preserve"> Sabha Secretariat, </w:t>
      </w:r>
      <w:proofErr w:type="spellStart"/>
      <w:r>
        <w:rPr>
          <w:rFonts w:ascii="Arial" w:hAnsi="Arial"/>
          <w:color w:val="3D3D3D"/>
          <w:sz w:val="16"/>
        </w:rPr>
        <w:t>Rajya</w:t>
      </w:r>
      <w:proofErr w:type="spellEnd"/>
      <w:r>
        <w:rPr>
          <w:rFonts w:ascii="Arial" w:hAnsi="Arial"/>
          <w:color w:val="3D3D3D"/>
          <w:sz w:val="16"/>
        </w:rPr>
        <w:t xml:space="preserve"> Sabha Secretariat, Cabinet Secretariat, Central Vigilance Commission, President's Secretariat, Vice­ President's Secretariat, Prime Minister's Office, Planning Commission, Election</w:t>
      </w:r>
      <w:r>
        <w:rPr>
          <w:rFonts w:ascii="Arial" w:hAnsi="Arial"/>
          <w:color w:val="606060"/>
          <w:sz w:val="16"/>
        </w:rPr>
        <w:t xml:space="preserve"> C</w:t>
      </w:r>
      <w:r>
        <w:rPr>
          <w:rFonts w:ascii="Arial" w:hAnsi="Arial"/>
          <w:color w:val="3D3D3D"/>
          <w:sz w:val="16"/>
        </w:rPr>
        <w:t>ommission.</w:t>
      </w:r>
    </w:p>
    <w:p w:rsidR="00E8799E" w:rsidRDefault="00644457">
      <w:pPr>
        <w:pStyle w:val="ListParagraph"/>
        <w:numPr>
          <w:ilvl w:val="0"/>
          <w:numId w:val="8"/>
        </w:numPr>
        <w:tabs>
          <w:tab w:val="left" w:pos="1468"/>
          <w:tab w:val="left" w:pos="1469"/>
        </w:tabs>
        <w:spacing w:before="3"/>
        <w:ind w:hanging="527"/>
        <w:rPr>
          <w:rFonts w:ascii="Arial"/>
          <w:sz w:val="16"/>
        </w:rPr>
      </w:pPr>
      <w:r>
        <w:rPr>
          <w:rFonts w:ascii="Arial"/>
          <w:color w:val="3D3D3D"/>
          <w:sz w:val="16"/>
        </w:rPr>
        <w:t>C</w:t>
      </w:r>
      <w:r>
        <w:rPr>
          <w:rFonts w:ascii="Arial"/>
          <w:color w:val="3D3D3D"/>
          <w:sz w:val="16"/>
        </w:rPr>
        <w:t>entral Information</w:t>
      </w:r>
      <w:r>
        <w:rPr>
          <w:rFonts w:ascii="Arial"/>
          <w:color w:val="3D3D3D"/>
          <w:spacing w:val="11"/>
          <w:sz w:val="16"/>
        </w:rPr>
        <w:t xml:space="preserve"> </w:t>
      </w:r>
      <w:r>
        <w:rPr>
          <w:rFonts w:ascii="Arial"/>
          <w:color w:val="3D3D3D"/>
          <w:sz w:val="16"/>
        </w:rPr>
        <w:t>Commission.</w:t>
      </w:r>
    </w:p>
    <w:p w:rsidR="00E8799E" w:rsidRDefault="00644457">
      <w:pPr>
        <w:pStyle w:val="ListParagraph"/>
        <w:numPr>
          <w:ilvl w:val="0"/>
          <w:numId w:val="8"/>
        </w:numPr>
        <w:tabs>
          <w:tab w:val="left" w:pos="1469"/>
          <w:tab w:val="left" w:pos="1470"/>
        </w:tabs>
        <w:spacing w:before="51"/>
        <w:ind w:left="1469" w:hanging="528"/>
        <w:rPr>
          <w:rFonts w:ascii="Arial"/>
          <w:sz w:val="16"/>
        </w:rPr>
      </w:pPr>
      <w:r>
        <w:rPr>
          <w:rFonts w:ascii="Arial"/>
          <w:color w:val="3D3D3D"/>
          <w:sz w:val="16"/>
        </w:rPr>
        <w:t>Staff Selection Commission, CGO Complex, New</w:t>
      </w:r>
      <w:r>
        <w:rPr>
          <w:rFonts w:ascii="Arial"/>
          <w:color w:val="3D3D3D"/>
          <w:spacing w:val="1"/>
          <w:sz w:val="16"/>
        </w:rPr>
        <w:t xml:space="preserve"> </w:t>
      </w:r>
      <w:r>
        <w:rPr>
          <w:rFonts w:ascii="Arial"/>
          <w:color w:val="3D3D3D"/>
          <w:sz w:val="16"/>
        </w:rPr>
        <w:t>Delhi</w:t>
      </w:r>
    </w:p>
    <w:p w:rsidR="00E8799E" w:rsidRDefault="00644457">
      <w:pPr>
        <w:pStyle w:val="ListParagraph"/>
        <w:numPr>
          <w:ilvl w:val="0"/>
          <w:numId w:val="8"/>
        </w:numPr>
        <w:tabs>
          <w:tab w:val="left" w:pos="1469"/>
          <w:tab w:val="left" w:pos="1470"/>
        </w:tabs>
        <w:spacing w:before="38" w:line="290" w:lineRule="auto"/>
        <w:ind w:left="1469" w:right="1776" w:hanging="533"/>
        <w:rPr>
          <w:rFonts w:ascii="Arial"/>
          <w:sz w:val="16"/>
        </w:rPr>
      </w:pPr>
      <w:r>
        <w:rPr>
          <w:rFonts w:ascii="Arial"/>
          <w:color w:val="3D3D3D"/>
          <w:w w:val="105"/>
          <w:sz w:val="16"/>
        </w:rPr>
        <w:t xml:space="preserve">0/o the Comptroller </w:t>
      </w:r>
      <w:r>
        <w:rPr>
          <w:rFonts w:ascii="Arial"/>
          <w:color w:val="3D3D3D"/>
          <w:w w:val="105"/>
          <w:sz w:val="18"/>
        </w:rPr>
        <w:t xml:space="preserve">&amp; </w:t>
      </w:r>
      <w:r>
        <w:rPr>
          <w:rFonts w:ascii="Arial"/>
          <w:color w:val="3D3D3D"/>
          <w:w w:val="105"/>
          <w:sz w:val="16"/>
        </w:rPr>
        <w:t>Auditor General of India, 10, Bahadur Shah Zafar Marg, New Delhi.</w:t>
      </w:r>
    </w:p>
    <w:p w:rsidR="00E8799E" w:rsidRDefault="00E8799E">
      <w:pPr>
        <w:pStyle w:val="BodyText"/>
        <w:rPr>
          <w:rFonts w:ascii="Arial"/>
          <w:sz w:val="18"/>
        </w:rPr>
      </w:pPr>
    </w:p>
    <w:p w:rsidR="00E8799E" w:rsidRDefault="00E8799E">
      <w:pPr>
        <w:pStyle w:val="BodyText"/>
        <w:spacing w:before="7"/>
        <w:rPr>
          <w:rFonts w:ascii="Arial"/>
          <w:sz w:val="20"/>
        </w:rPr>
      </w:pPr>
    </w:p>
    <w:p w:rsidR="00E8799E" w:rsidRDefault="00644457">
      <w:pPr>
        <w:ind w:left="935"/>
        <w:rPr>
          <w:rFonts w:ascii="Arial"/>
          <w:sz w:val="16"/>
        </w:rPr>
      </w:pPr>
      <w:r>
        <w:rPr>
          <w:rFonts w:ascii="Arial"/>
          <w:color w:val="3D3D3D"/>
          <w:sz w:val="16"/>
        </w:rPr>
        <w:t xml:space="preserve">Copy </w:t>
      </w:r>
      <w:proofErr w:type="gramStart"/>
      <w:r>
        <w:rPr>
          <w:rFonts w:ascii="Arial"/>
          <w:color w:val="3D3D3D"/>
          <w:sz w:val="16"/>
        </w:rPr>
        <w:t>to :</w:t>
      </w:r>
      <w:proofErr w:type="gramEnd"/>
      <w:r>
        <w:rPr>
          <w:rFonts w:ascii="Arial"/>
          <w:color w:val="3D3D3D"/>
          <w:sz w:val="16"/>
        </w:rPr>
        <w:t xml:space="preserve"> Chief Secretaries of all the States/UTs.</w:t>
      </w: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rPr>
          <w:rFonts w:ascii="Arial"/>
          <w:sz w:val="20"/>
        </w:rPr>
      </w:pPr>
    </w:p>
    <w:p w:rsidR="00E8799E" w:rsidRDefault="00E8799E">
      <w:pPr>
        <w:pStyle w:val="BodyText"/>
        <w:spacing w:before="5"/>
        <w:rPr>
          <w:rFonts w:ascii="Arial"/>
          <w:sz w:val="22"/>
        </w:rPr>
      </w:pPr>
    </w:p>
    <w:p w:rsidR="00E8799E" w:rsidRDefault="00644457">
      <w:pPr>
        <w:ind w:right="213"/>
        <w:jc w:val="right"/>
        <w:rPr>
          <w:rFonts w:ascii="Arial"/>
          <w:sz w:val="20"/>
        </w:rPr>
      </w:pPr>
      <w:r>
        <w:rPr>
          <w:rFonts w:ascii="Arial"/>
          <w:color w:val="0A0A0A"/>
          <w:w w:val="95"/>
          <w:sz w:val="20"/>
        </w:rPr>
        <w:t>ii</w:t>
      </w:r>
    </w:p>
    <w:p w:rsidR="00E8799E" w:rsidRDefault="00E8799E">
      <w:pPr>
        <w:jc w:val="right"/>
        <w:rPr>
          <w:rFonts w:ascii="Arial"/>
          <w:sz w:val="20"/>
        </w:rPr>
        <w:sectPr w:rsidR="00E8799E">
          <w:pgSz w:w="11910" w:h="16840"/>
          <w:pgMar w:top="1580" w:right="1220" w:bottom="280" w:left="1220" w:header="720" w:footer="720" w:gutter="0"/>
          <w:cols w:space="720"/>
        </w:sectPr>
      </w:pPr>
    </w:p>
    <w:p w:rsidR="00E8799E" w:rsidRDefault="00644457">
      <w:pPr>
        <w:pStyle w:val="Heading1"/>
      </w:pPr>
      <w:bookmarkStart w:id="4" w:name="OLE_LINK9"/>
      <w:bookmarkStart w:id="5" w:name="OLE_LINK10"/>
      <w:r>
        <w:lastRenderedPageBreak/>
        <w:t xml:space="preserve">Guidelines on </w:t>
      </w:r>
      <w:proofErr w:type="spellStart"/>
      <w:r>
        <w:rPr>
          <w:rFonts w:ascii="Calibri-BoldItalic"/>
          <w:i/>
        </w:rPr>
        <w:t>suo</w:t>
      </w:r>
      <w:proofErr w:type="spellEnd"/>
      <w:r>
        <w:rPr>
          <w:rFonts w:ascii="Calibri-BoldItalic"/>
          <w:i/>
        </w:rPr>
        <w:t xml:space="preserve"> </w:t>
      </w:r>
      <w:proofErr w:type="spellStart"/>
      <w:r>
        <w:rPr>
          <w:rFonts w:ascii="Calibri-BoldItalic"/>
          <w:i/>
        </w:rPr>
        <w:t>motu</w:t>
      </w:r>
      <w:proofErr w:type="spellEnd"/>
      <w:r>
        <w:rPr>
          <w:rFonts w:ascii="Calibri-BoldItalic"/>
          <w:i/>
        </w:rPr>
        <w:t xml:space="preserve"> </w:t>
      </w:r>
      <w:r>
        <w:t>disclosure under Section 4 of the RTI Act</w:t>
      </w:r>
    </w:p>
    <w:bookmarkEnd w:id="4"/>
    <w:bookmarkEnd w:id="5"/>
    <w:p w:rsidR="00E8799E" w:rsidRDefault="00E8799E">
      <w:pPr>
        <w:pStyle w:val="BodyText"/>
        <w:rPr>
          <w:b/>
          <w:sz w:val="32"/>
        </w:rPr>
      </w:pPr>
    </w:p>
    <w:p w:rsidR="00E8799E" w:rsidRDefault="00E8799E">
      <w:pPr>
        <w:pStyle w:val="BodyText"/>
        <w:rPr>
          <w:b/>
          <w:sz w:val="32"/>
        </w:rPr>
      </w:pPr>
    </w:p>
    <w:p w:rsidR="00E8799E" w:rsidRDefault="00E8799E">
      <w:pPr>
        <w:pStyle w:val="BodyText"/>
        <w:spacing w:before="3"/>
        <w:rPr>
          <w:b/>
          <w:sz w:val="29"/>
        </w:rPr>
      </w:pPr>
    </w:p>
    <w:p w:rsidR="00E8799E" w:rsidRDefault="00644457">
      <w:pPr>
        <w:ind w:left="2203" w:right="1479"/>
        <w:jc w:val="center"/>
        <w:rPr>
          <w:b/>
          <w:sz w:val="36"/>
        </w:rPr>
      </w:pPr>
      <w:r>
        <w:rPr>
          <w:noProof/>
        </w:rPr>
        <w:drawing>
          <wp:anchor distT="0" distB="0" distL="0" distR="0" simplePos="0" relativeHeight="268422695" behindDoc="1" locked="0" layoutInCell="1" allowOverlap="1">
            <wp:simplePos x="0" y="0"/>
            <wp:positionH relativeFrom="page">
              <wp:posOffset>841078</wp:posOffset>
            </wp:positionH>
            <wp:positionV relativeFrom="paragraph">
              <wp:posOffset>528303</wp:posOffset>
            </wp:positionV>
            <wp:extent cx="5878407" cy="202387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878407" cy="2023872"/>
                    </a:xfrm>
                    <a:prstGeom prst="rect">
                      <a:avLst/>
                    </a:prstGeom>
                  </pic:spPr>
                </pic:pic>
              </a:graphicData>
            </a:graphic>
          </wp:anchor>
        </w:drawing>
      </w:r>
      <w:r>
        <w:rPr>
          <w:b/>
          <w:sz w:val="36"/>
        </w:rPr>
        <w:t>INDEX</w:t>
      </w:r>
    </w:p>
    <w:p w:rsidR="00E8799E" w:rsidRDefault="00E8799E">
      <w:pPr>
        <w:pStyle w:val="BodyText"/>
        <w:rPr>
          <w:b/>
          <w:sz w:val="20"/>
        </w:rPr>
      </w:pPr>
    </w:p>
    <w:p w:rsidR="00E8799E" w:rsidRDefault="00E8799E">
      <w:pPr>
        <w:pStyle w:val="BodyText"/>
        <w:spacing w:before="11" w:after="1"/>
        <w:rPr>
          <w:b/>
          <w:sz w:val="17"/>
        </w:rPr>
      </w:pPr>
    </w:p>
    <w:tbl>
      <w:tblPr>
        <w:tblW w:w="0" w:type="auto"/>
        <w:tblInd w:w="126" w:type="dxa"/>
        <w:tblLayout w:type="fixed"/>
        <w:tblCellMar>
          <w:left w:w="0" w:type="dxa"/>
          <w:right w:w="0" w:type="dxa"/>
        </w:tblCellMar>
        <w:tblLook w:val="01E0" w:firstRow="1" w:lastRow="1" w:firstColumn="1" w:lastColumn="1" w:noHBand="0" w:noVBand="0"/>
      </w:tblPr>
      <w:tblGrid>
        <w:gridCol w:w="831"/>
        <w:gridCol w:w="7136"/>
        <w:gridCol w:w="1085"/>
      </w:tblGrid>
      <w:tr w:rsidR="00E8799E">
        <w:trPr>
          <w:trHeight w:val="750"/>
        </w:trPr>
        <w:tc>
          <w:tcPr>
            <w:tcW w:w="831" w:type="dxa"/>
          </w:tcPr>
          <w:p w:rsidR="00E8799E" w:rsidRDefault="00644457">
            <w:pPr>
              <w:pStyle w:val="TableParagraph"/>
              <w:spacing w:line="325" w:lineRule="exact"/>
              <w:ind w:left="177" w:right="141"/>
              <w:rPr>
                <w:b/>
                <w:sz w:val="32"/>
              </w:rPr>
            </w:pPr>
            <w:r>
              <w:rPr>
                <w:b/>
                <w:sz w:val="32"/>
              </w:rPr>
              <w:t>S.</w:t>
            </w:r>
          </w:p>
          <w:p w:rsidR="00E8799E" w:rsidRDefault="00644457">
            <w:pPr>
              <w:pStyle w:val="TableParagraph"/>
              <w:spacing w:line="240" w:lineRule="auto"/>
              <w:ind w:left="180" w:right="141"/>
              <w:rPr>
                <w:b/>
                <w:sz w:val="32"/>
              </w:rPr>
            </w:pPr>
            <w:r>
              <w:rPr>
                <w:b/>
                <w:sz w:val="32"/>
              </w:rPr>
              <w:t>No.</w:t>
            </w:r>
          </w:p>
        </w:tc>
        <w:tc>
          <w:tcPr>
            <w:tcW w:w="7136" w:type="dxa"/>
          </w:tcPr>
          <w:p w:rsidR="00E8799E" w:rsidRDefault="00644457">
            <w:pPr>
              <w:pStyle w:val="TableParagraph"/>
              <w:spacing w:line="325" w:lineRule="exact"/>
              <w:ind w:left="2980" w:right="3059"/>
              <w:rPr>
                <w:b/>
                <w:sz w:val="32"/>
              </w:rPr>
            </w:pPr>
            <w:r>
              <w:rPr>
                <w:b/>
                <w:sz w:val="32"/>
              </w:rPr>
              <w:t>Chapter</w:t>
            </w:r>
          </w:p>
        </w:tc>
        <w:tc>
          <w:tcPr>
            <w:tcW w:w="1085" w:type="dxa"/>
          </w:tcPr>
          <w:p w:rsidR="00E8799E" w:rsidRDefault="00644457">
            <w:pPr>
              <w:pStyle w:val="TableParagraph"/>
              <w:spacing w:line="325" w:lineRule="exact"/>
              <w:ind w:left="245"/>
              <w:jc w:val="left"/>
              <w:rPr>
                <w:b/>
                <w:sz w:val="32"/>
              </w:rPr>
            </w:pPr>
            <w:r>
              <w:rPr>
                <w:b/>
                <w:sz w:val="32"/>
              </w:rPr>
              <w:t>Page</w:t>
            </w:r>
          </w:p>
          <w:p w:rsidR="00E8799E" w:rsidRDefault="00644457">
            <w:pPr>
              <w:pStyle w:val="TableParagraph"/>
              <w:spacing w:line="240" w:lineRule="auto"/>
              <w:ind w:left="332"/>
              <w:jc w:val="left"/>
              <w:rPr>
                <w:b/>
                <w:sz w:val="32"/>
              </w:rPr>
            </w:pPr>
            <w:r>
              <w:rPr>
                <w:b/>
                <w:sz w:val="32"/>
              </w:rPr>
              <w:t>No.</w:t>
            </w:r>
          </w:p>
        </w:tc>
      </w:tr>
      <w:tr w:rsidR="00E8799E">
        <w:trPr>
          <w:trHeight w:val="399"/>
        </w:trPr>
        <w:tc>
          <w:tcPr>
            <w:tcW w:w="831" w:type="dxa"/>
          </w:tcPr>
          <w:p w:rsidR="00E8799E" w:rsidRDefault="00644457">
            <w:pPr>
              <w:pStyle w:val="TableParagraph"/>
              <w:spacing w:line="365" w:lineRule="exact"/>
              <w:ind w:left="37"/>
              <w:rPr>
                <w:b/>
                <w:sz w:val="32"/>
              </w:rPr>
            </w:pPr>
            <w:r>
              <w:rPr>
                <w:b/>
                <w:w w:val="99"/>
                <w:sz w:val="32"/>
              </w:rPr>
              <w:t>1</w:t>
            </w:r>
          </w:p>
        </w:tc>
        <w:tc>
          <w:tcPr>
            <w:tcW w:w="7136" w:type="dxa"/>
          </w:tcPr>
          <w:p w:rsidR="00E8799E" w:rsidRDefault="00644457">
            <w:pPr>
              <w:pStyle w:val="TableParagraph"/>
              <w:spacing w:line="365" w:lineRule="exact"/>
              <w:jc w:val="left"/>
              <w:rPr>
                <w:sz w:val="32"/>
              </w:rPr>
            </w:pPr>
            <w:proofErr w:type="spellStart"/>
            <w:r>
              <w:rPr>
                <w:i/>
                <w:sz w:val="32"/>
              </w:rPr>
              <w:t>Suo</w:t>
            </w:r>
            <w:proofErr w:type="spellEnd"/>
            <w:r>
              <w:rPr>
                <w:i/>
                <w:sz w:val="32"/>
              </w:rPr>
              <w:t xml:space="preserve"> </w:t>
            </w:r>
            <w:proofErr w:type="spellStart"/>
            <w:r>
              <w:rPr>
                <w:i/>
                <w:sz w:val="32"/>
              </w:rPr>
              <w:t>motu</w:t>
            </w:r>
            <w:proofErr w:type="spellEnd"/>
            <w:r>
              <w:rPr>
                <w:i/>
                <w:sz w:val="32"/>
              </w:rPr>
              <w:t xml:space="preserve"> </w:t>
            </w:r>
            <w:r>
              <w:rPr>
                <w:sz w:val="32"/>
              </w:rPr>
              <w:t>disclosure of more items under Section 4</w:t>
            </w:r>
          </w:p>
        </w:tc>
        <w:tc>
          <w:tcPr>
            <w:tcW w:w="1085" w:type="dxa"/>
          </w:tcPr>
          <w:p w:rsidR="00E8799E" w:rsidRDefault="00644457">
            <w:pPr>
              <w:pStyle w:val="TableParagraph"/>
              <w:spacing w:line="365" w:lineRule="exact"/>
              <w:ind w:left="44"/>
              <w:rPr>
                <w:b/>
                <w:sz w:val="32"/>
              </w:rPr>
            </w:pPr>
            <w:r>
              <w:rPr>
                <w:b/>
                <w:w w:val="99"/>
                <w:sz w:val="32"/>
              </w:rPr>
              <w:t>1</w:t>
            </w:r>
          </w:p>
        </w:tc>
      </w:tr>
      <w:tr w:rsidR="00E8799E">
        <w:trPr>
          <w:trHeight w:val="791"/>
        </w:trPr>
        <w:tc>
          <w:tcPr>
            <w:tcW w:w="831" w:type="dxa"/>
          </w:tcPr>
          <w:p w:rsidR="00E8799E" w:rsidRDefault="00644457">
            <w:pPr>
              <w:pStyle w:val="TableParagraph"/>
              <w:ind w:left="37"/>
              <w:rPr>
                <w:b/>
                <w:sz w:val="32"/>
              </w:rPr>
            </w:pPr>
            <w:r>
              <w:rPr>
                <w:b/>
                <w:w w:val="99"/>
                <w:sz w:val="32"/>
              </w:rPr>
              <w:t>2</w:t>
            </w:r>
          </w:p>
        </w:tc>
        <w:tc>
          <w:tcPr>
            <w:tcW w:w="7136" w:type="dxa"/>
          </w:tcPr>
          <w:p w:rsidR="00E8799E" w:rsidRDefault="00644457">
            <w:pPr>
              <w:pStyle w:val="TableParagraph"/>
              <w:tabs>
                <w:tab w:val="left" w:pos="1776"/>
                <w:tab w:val="left" w:pos="2403"/>
                <w:tab w:val="left" w:pos="3454"/>
                <w:tab w:val="left" w:pos="5156"/>
                <w:tab w:val="left" w:pos="5669"/>
              </w:tabs>
              <w:jc w:val="left"/>
              <w:rPr>
                <w:sz w:val="32"/>
              </w:rPr>
            </w:pPr>
            <w:r>
              <w:rPr>
                <w:sz w:val="32"/>
              </w:rPr>
              <w:t>Guidelines</w:t>
            </w:r>
            <w:r>
              <w:rPr>
                <w:sz w:val="32"/>
              </w:rPr>
              <w:tab/>
              <w:t>for</w:t>
            </w:r>
            <w:r>
              <w:rPr>
                <w:sz w:val="32"/>
              </w:rPr>
              <w:tab/>
              <w:t>digital</w:t>
            </w:r>
            <w:r>
              <w:rPr>
                <w:sz w:val="32"/>
              </w:rPr>
              <w:tab/>
              <w:t>publication</w:t>
            </w:r>
            <w:r>
              <w:rPr>
                <w:sz w:val="32"/>
              </w:rPr>
              <w:tab/>
              <w:t>of</w:t>
            </w:r>
            <w:r>
              <w:rPr>
                <w:sz w:val="32"/>
              </w:rPr>
              <w:tab/>
              <w:t>proactive</w:t>
            </w:r>
          </w:p>
          <w:p w:rsidR="00E8799E" w:rsidRDefault="00644457">
            <w:pPr>
              <w:pStyle w:val="TableParagraph"/>
              <w:spacing w:line="240" w:lineRule="auto"/>
              <w:jc w:val="left"/>
              <w:rPr>
                <w:sz w:val="32"/>
              </w:rPr>
            </w:pPr>
            <w:r>
              <w:rPr>
                <w:sz w:val="32"/>
              </w:rPr>
              <w:t>disclosure under Section 4</w:t>
            </w:r>
          </w:p>
        </w:tc>
        <w:tc>
          <w:tcPr>
            <w:tcW w:w="1085" w:type="dxa"/>
          </w:tcPr>
          <w:p w:rsidR="00E8799E" w:rsidRDefault="00644457">
            <w:pPr>
              <w:pStyle w:val="TableParagraph"/>
              <w:ind w:left="44"/>
              <w:rPr>
                <w:b/>
                <w:sz w:val="32"/>
              </w:rPr>
            </w:pPr>
            <w:r>
              <w:rPr>
                <w:b/>
                <w:w w:val="99"/>
                <w:sz w:val="32"/>
              </w:rPr>
              <w:t>4</w:t>
            </w:r>
          </w:p>
        </w:tc>
      </w:tr>
      <w:tr w:rsidR="00E8799E">
        <w:trPr>
          <w:trHeight w:val="792"/>
        </w:trPr>
        <w:tc>
          <w:tcPr>
            <w:tcW w:w="831" w:type="dxa"/>
          </w:tcPr>
          <w:p w:rsidR="00E8799E" w:rsidRDefault="00644457">
            <w:pPr>
              <w:pStyle w:val="TableParagraph"/>
              <w:ind w:left="37"/>
              <w:rPr>
                <w:b/>
                <w:sz w:val="32"/>
              </w:rPr>
            </w:pPr>
            <w:r>
              <w:rPr>
                <w:b/>
                <w:w w:val="99"/>
                <w:sz w:val="32"/>
              </w:rPr>
              <w:t>3</w:t>
            </w:r>
          </w:p>
        </w:tc>
        <w:tc>
          <w:tcPr>
            <w:tcW w:w="7136" w:type="dxa"/>
          </w:tcPr>
          <w:p w:rsidR="00E8799E" w:rsidRDefault="00644457">
            <w:pPr>
              <w:pStyle w:val="TableParagraph"/>
              <w:jc w:val="left"/>
              <w:rPr>
                <w:sz w:val="32"/>
              </w:rPr>
            </w:pPr>
            <w:r>
              <w:rPr>
                <w:sz w:val="32"/>
              </w:rPr>
              <w:t>Guidelines for certain clauses of Section 4(1)(b) to</w:t>
            </w:r>
          </w:p>
          <w:p w:rsidR="00E8799E" w:rsidRDefault="00644457">
            <w:pPr>
              <w:pStyle w:val="TableParagraph"/>
              <w:spacing w:line="240" w:lineRule="auto"/>
              <w:jc w:val="left"/>
              <w:rPr>
                <w:sz w:val="32"/>
              </w:rPr>
            </w:pPr>
            <w:r>
              <w:rPr>
                <w:sz w:val="32"/>
              </w:rPr>
              <w:t>make disclosure more effective</w:t>
            </w:r>
          </w:p>
        </w:tc>
        <w:tc>
          <w:tcPr>
            <w:tcW w:w="1085" w:type="dxa"/>
          </w:tcPr>
          <w:p w:rsidR="00E8799E" w:rsidRDefault="00644457">
            <w:pPr>
              <w:pStyle w:val="TableParagraph"/>
              <w:ind w:left="44"/>
              <w:rPr>
                <w:b/>
                <w:sz w:val="32"/>
              </w:rPr>
            </w:pPr>
            <w:r>
              <w:rPr>
                <w:b/>
                <w:w w:val="99"/>
                <w:sz w:val="32"/>
              </w:rPr>
              <w:t>7</w:t>
            </w:r>
          </w:p>
        </w:tc>
      </w:tr>
      <w:tr w:rsidR="00E8799E">
        <w:trPr>
          <w:trHeight w:val="360"/>
        </w:trPr>
        <w:tc>
          <w:tcPr>
            <w:tcW w:w="831" w:type="dxa"/>
          </w:tcPr>
          <w:p w:rsidR="00E8799E" w:rsidRDefault="00644457">
            <w:pPr>
              <w:pStyle w:val="TableParagraph"/>
              <w:spacing w:line="340" w:lineRule="exact"/>
              <w:ind w:left="37"/>
              <w:rPr>
                <w:b/>
                <w:sz w:val="32"/>
              </w:rPr>
            </w:pPr>
            <w:r>
              <w:rPr>
                <w:b/>
                <w:w w:val="99"/>
                <w:sz w:val="32"/>
              </w:rPr>
              <w:t>4</w:t>
            </w:r>
          </w:p>
        </w:tc>
        <w:tc>
          <w:tcPr>
            <w:tcW w:w="7136" w:type="dxa"/>
          </w:tcPr>
          <w:p w:rsidR="00E8799E" w:rsidRDefault="00644457">
            <w:pPr>
              <w:pStyle w:val="TableParagraph"/>
              <w:spacing w:line="340" w:lineRule="exact"/>
              <w:jc w:val="left"/>
              <w:rPr>
                <w:sz w:val="32"/>
              </w:rPr>
            </w:pPr>
            <w:r>
              <w:rPr>
                <w:sz w:val="32"/>
              </w:rPr>
              <w:t xml:space="preserve">Compliance with provisions of </w:t>
            </w:r>
            <w:proofErr w:type="spellStart"/>
            <w:r>
              <w:rPr>
                <w:i/>
                <w:sz w:val="32"/>
              </w:rPr>
              <w:t>suo</w:t>
            </w:r>
            <w:proofErr w:type="spellEnd"/>
            <w:r>
              <w:rPr>
                <w:i/>
                <w:sz w:val="32"/>
              </w:rPr>
              <w:t xml:space="preserve"> </w:t>
            </w:r>
            <w:proofErr w:type="spellStart"/>
            <w:r>
              <w:rPr>
                <w:i/>
                <w:sz w:val="32"/>
              </w:rPr>
              <w:t>motu</w:t>
            </w:r>
            <w:proofErr w:type="spellEnd"/>
            <w:r>
              <w:rPr>
                <w:i/>
                <w:sz w:val="32"/>
              </w:rPr>
              <w:t xml:space="preserve"> </w:t>
            </w:r>
            <w:r>
              <w:rPr>
                <w:sz w:val="32"/>
              </w:rPr>
              <w:t>disclosure</w:t>
            </w:r>
          </w:p>
        </w:tc>
        <w:tc>
          <w:tcPr>
            <w:tcW w:w="1085" w:type="dxa"/>
          </w:tcPr>
          <w:p w:rsidR="00E8799E" w:rsidRDefault="00644457">
            <w:pPr>
              <w:pStyle w:val="TableParagraph"/>
              <w:spacing w:line="340" w:lineRule="exact"/>
              <w:ind w:left="382" w:right="338"/>
              <w:rPr>
                <w:b/>
                <w:sz w:val="32"/>
              </w:rPr>
            </w:pPr>
            <w:r>
              <w:rPr>
                <w:b/>
                <w:sz w:val="32"/>
              </w:rPr>
              <w:t>12</w:t>
            </w:r>
          </w:p>
        </w:tc>
      </w:tr>
    </w:tbl>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E8799E">
      <w:pPr>
        <w:pStyle w:val="BodyText"/>
        <w:rPr>
          <w:b/>
          <w:sz w:val="36"/>
        </w:rPr>
      </w:pPr>
    </w:p>
    <w:p w:rsidR="00E8799E" w:rsidRDefault="00644457">
      <w:pPr>
        <w:spacing w:before="276"/>
        <w:ind w:right="215"/>
        <w:jc w:val="right"/>
      </w:pPr>
      <w:r>
        <w:t>iii</w:t>
      </w:r>
    </w:p>
    <w:p w:rsidR="00E8799E" w:rsidRDefault="00E8799E">
      <w:pPr>
        <w:jc w:val="right"/>
        <w:sectPr w:rsidR="00E8799E">
          <w:pgSz w:w="11910" w:h="16840"/>
          <w:pgMar w:top="1400" w:right="1220" w:bottom="280" w:left="1220" w:header="720" w:footer="720" w:gutter="0"/>
          <w:cols w:space="720"/>
        </w:sectPr>
      </w:pPr>
    </w:p>
    <w:p w:rsidR="00E8799E" w:rsidRDefault="00644457">
      <w:pPr>
        <w:pStyle w:val="Heading1"/>
        <w:ind w:left="498"/>
      </w:pPr>
      <w:r>
        <w:rPr>
          <w:noProof/>
        </w:rPr>
        <w:lastRenderedPageBreak/>
        <w:drawing>
          <wp:anchor distT="0" distB="0" distL="0" distR="0" simplePos="0" relativeHeight="268422719" behindDoc="1" locked="0" layoutInCell="1" allowOverlap="1">
            <wp:simplePos x="0" y="0"/>
            <wp:positionH relativeFrom="page">
              <wp:posOffset>0</wp:posOffset>
            </wp:positionH>
            <wp:positionV relativeFrom="page">
              <wp:posOffset>3047</wp:posOffset>
            </wp:positionV>
            <wp:extent cx="7560564" cy="1068628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7560564" cy="10686288"/>
                    </a:xfrm>
                    <a:prstGeom prst="rect">
                      <a:avLst/>
                    </a:prstGeom>
                  </pic:spPr>
                </pic:pic>
              </a:graphicData>
            </a:graphic>
          </wp:anchor>
        </w:drawing>
      </w:r>
      <w:r>
        <w:t xml:space="preserve">Guidelines on </w:t>
      </w:r>
      <w:proofErr w:type="spellStart"/>
      <w:r>
        <w:rPr>
          <w:rFonts w:ascii="Calibri-BoldItalic"/>
          <w:i/>
        </w:rPr>
        <w:t>suo</w:t>
      </w:r>
      <w:proofErr w:type="spellEnd"/>
      <w:r>
        <w:rPr>
          <w:rFonts w:ascii="Calibri-BoldItalic"/>
          <w:i/>
        </w:rPr>
        <w:t xml:space="preserve"> </w:t>
      </w:r>
      <w:proofErr w:type="spellStart"/>
      <w:r>
        <w:rPr>
          <w:rFonts w:ascii="Calibri-BoldItalic"/>
          <w:i/>
        </w:rPr>
        <w:t>motu</w:t>
      </w:r>
      <w:proofErr w:type="spellEnd"/>
      <w:r>
        <w:rPr>
          <w:rFonts w:ascii="Calibri-BoldItalic"/>
          <w:i/>
        </w:rPr>
        <w:t xml:space="preserve"> </w:t>
      </w:r>
      <w:r>
        <w:t>disclosure under Section 4 of the RTI Act</w:t>
      </w:r>
    </w:p>
    <w:p w:rsidR="00E8799E" w:rsidRDefault="00644457">
      <w:pPr>
        <w:pStyle w:val="Heading2"/>
        <w:numPr>
          <w:ilvl w:val="1"/>
          <w:numId w:val="7"/>
        </w:numPr>
        <w:tabs>
          <w:tab w:val="left" w:pos="940"/>
          <w:tab w:val="left" w:pos="941"/>
        </w:tabs>
        <w:spacing w:before="199"/>
      </w:pPr>
      <w:proofErr w:type="spellStart"/>
      <w:r>
        <w:rPr>
          <w:rFonts w:ascii="Calibri-BoldItalic"/>
          <w:i/>
        </w:rPr>
        <w:t>Suo</w:t>
      </w:r>
      <w:proofErr w:type="spellEnd"/>
      <w:r>
        <w:rPr>
          <w:rFonts w:ascii="Calibri-BoldItalic"/>
          <w:i/>
        </w:rPr>
        <w:t xml:space="preserve"> </w:t>
      </w:r>
      <w:proofErr w:type="spellStart"/>
      <w:r>
        <w:rPr>
          <w:rFonts w:ascii="Calibri-BoldItalic"/>
          <w:i/>
        </w:rPr>
        <w:t>motu</w:t>
      </w:r>
      <w:proofErr w:type="spellEnd"/>
      <w:r>
        <w:rPr>
          <w:rFonts w:ascii="Calibri-BoldItalic"/>
          <w:i/>
        </w:rPr>
        <w:t xml:space="preserve"> </w:t>
      </w:r>
      <w:r>
        <w:t>disclosure of more items under Section</w:t>
      </w:r>
      <w:r>
        <w:rPr>
          <w:spacing w:val="-1"/>
        </w:rPr>
        <w:t xml:space="preserve"> </w:t>
      </w:r>
      <w:r>
        <w:t>4</w:t>
      </w:r>
    </w:p>
    <w:p w:rsidR="00E8799E" w:rsidRDefault="00E8799E">
      <w:pPr>
        <w:pStyle w:val="BodyText"/>
        <w:spacing w:before="8"/>
        <w:rPr>
          <w:b/>
          <w:sz w:val="31"/>
        </w:rPr>
      </w:pPr>
    </w:p>
    <w:p w:rsidR="00E8799E" w:rsidRDefault="00644457">
      <w:pPr>
        <w:pStyle w:val="BodyText"/>
        <w:spacing w:line="360" w:lineRule="auto"/>
        <w:ind w:left="220" w:right="214"/>
        <w:jc w:val="both"/>
      </w:pPr>
      <w:r>
        <w:t xml:space="preserve">Sub-section 4(2) of the RTI Act, 2005 requires every public authority to take steps in accordance with the requirements of clause (b) of sub-section 4(1) to provide as much information </w:t>
      </w:r>
      <w:proofErr w:type="spellStart"/>
      <w:r>
        <w:rPr>
          <w:i/>
        </w:rPr>
        <w:t>suo</w:t>
      </w:r>
      <w:proofErr w:type="spellEnd"/>
      <w:r>
        <w:rPr>
          <w:i/>
        </w:rPr>
        <w:t xml:space="preserve"> </w:t>
      </w:r>
      <w:proofErr w:type="spellStart"/>
      <w:r>
        <w:rPr>
          <w:i/>
        </w:rPr>
        <w:t>motu</w:t>
      </w:r>
      <w:proofErr w:type="spellEnd"/>
      <w:r>
        <w:rPr>
          <w:i/>
        </w:rPr>
        <w:t xml:space="preserve"> </w:t>
      </w:r>
      <w:r>
        <w:t>to the public at regular intervals through various means of communication, including internet, so that the public have minimum resort to use the Act to obtain information. Accordingly, the Public Authorities may proactively disclose the following items als</w:t>
      </w:r>
      <w:r>
        <w:t xml:space="preserve">o under the </w:t>
      </w:r>
      <w:proofErr w:type="spellStart"/>
      <w:r>
        <w:rPr>
          <w:i/>
        </w:rPr>
        <w:t>suo</w:t>
      </w:r>
      <w:proofErr w:type="spellEnd"/>
      <w:r>
        <w:rPr>
          <w:i/>
        </w:rPr>
        <w:t xml:space="preserve"> </w:t>
      </w:r>
      <w:proofErr w:type="spellStart"/>
      <w:r>
        <w:rPr>
          <w:i/>
        </w:rPr>
        <w:t>motu</w:t>
      </w:r>
      <w:proofErr w:type="spellEnd"/>
      <w:r>
        <w:rPr>
          <w:i/>
        </w:rPr>
        <w:t xml:space="preserve"> </w:t>
      </w:r>
      <w:r>
        <w:t>disclosure provisions of Section</w:t>
      </w:r>
      <w:r>
        <w:rPr>
          <w:spacing w:val="-13"/>
        </w:rPr>
        <w:t xml:space="preserve"> </w:t>
      </w:r>
      <w:r>
        <w:t>4:</w:t>
      </w:r>
    </w:p>
    <w:p w:rsidR="00E8799E" w:rsidRDefault="00644457">
      <w:pPr>
        <w:pStyle w:val="Heading2"/>
        <w:numPr>
          <w:ilvl w:val="1"/>
          <w:numId w:val="7"/>
        </w:numPr>
        <w:tabs>
          <w:tab w:val="left" w:pos="940"/>
          <w:tab w:val="left" w:pos="941"/>
        </w:tabs>
        <w:spacing w:before="200"/>
      </w:pPr>
      <w:bookmarkStart w:id="6" w:name="OLE_LINK11"/>
      <w:bookmarkStart w:id="7" w:name="OLE_LINK12"/>
      <w:r>
        <w:t>Information related to</w:t>
      </w:r>
      <w:r>
        <w:rPr>
          <w:spacing w:val="-4"/>
        </w:rPr>
        <w:t xml:space="preserve"> </w:t>
      </w:r>
      <w:r>
        <w:t>Procurement</w:t>
      </w:r>
    </w:p>
    <w:p w:rsidR="00E8799E" w:rsidRDefault="00644457">
      <w:pPr>
        <w:pStyle w:val="ListParagraph"/>
        <w:numPr>
          <w:ilvl w:val="2"/>
          <w:numId w:val="7"/>
        </w:numPr>
        <w:tabs>
          <w:tab w:val="left" w:pos="941"/>
        </w:tabs>
        <w:spacing w:before="147" w:line="360" w:lineRule="auto"/>
        <w:ind w:right="211" w:firstLine="0"/>
        <w:jc w:val="both"/>
        <w:rPr>
          <w:sz w:val="24"/>
        </w:rPr>
      </w:pPr>
      <w:r>
        <w:rPr>
          <w:sz w:val="24"/>
        </w:rPr>
        <w:t>Information relating to procurement made by Public Authorities including publication of notice/tender enquiries, corrigenda thereon, and details of bid awards detai</w:t>
      </w:r>
      <w:r>
        <w:rPr>
          <w:sz w:val="24"/>
        </w:rPr>
        <w:t xml:space="preserve">ling the name of the supplier of goods/services being procured or the works contracts entered or any such combination of these and the rate and total amount at which such procurement or works contract is to be done should be disclosed. All </w:t>
      </w:r>
      <w:proofErr w:type="gramStart"/>
      <w:r>
        <w:rPr>
          <w:sz w:val="24"/>
        </w:rPr>
        <w:t>information  dis</w:t>
      </w:r>
      <w:r>
        <w:rPr>
          <w:sz w:val="24"/>
        </w:rPr>
        <w:t>closable</w:t>
      </w:r>
      <w:proofErr w:type="gramEnd"/>
      <w:r>
        <w:rPr>
          <w:sz w:val="24"/>
        </w:rPr>
        <w:t xml:space="preserve"> as per Ministry of Finance, Department of Expenditure’s O.M. No 10/1/2011-PPC dated 30</w:t>
      </w:r>
      <w:r>
        <w:rPr>
          <w:sz w:val="24"/>
          <w:vertAlign w:val="superscript"/>
        </w:rPr>
        <w:t>th</w:t>
      </w:r>
      <w:r>
        <w:rPr>
          <w:sz w:val="24"/>
        </w:rPr>
        <w:t xml:space="preserve"> </w:t>
      </w:r>
      <w:proofErr w:type="gramStart"/>
      <w:r>
        <w:rPr>
          <w:sz w:val="24"/>
        </w:rPr>
        <w:t>November,</w:t>
      </w:r>
      <w:proofErr w:type="gramEnd"/>
      <w:r>
        <w:rPr>
          <w:sz w:val="24"/>
        </w:rPr>
        <w:t xml:space="preserve"> 2011 on Mandatory Publication of Tender Enquiries on the Central Public Procurement Portal and O.M. No. 10/3/2012- PPC dated 30</w:t>
      </w:r>
      <w:r>
        <w:rPr>
          <w:sz w:val="24"/>
          <w:vertAlign w:val="superscript"/>
        </w:rPr>
        <w:t>th</w:t>
      </w:r>
      <w:r>
        <w:rPr>
          <w:sz w:val="24"/>
        </w:rPr>
        <w:t xml:space="preserve"> March, 2012 on Imp</w:t>
      </w:r>
      <w:r>
        <w:rPr>
          <w:sz w:val="24"/>
        </w:rPr>
        <w:t xml:space="preserve">lementation of comprehensive end-to-end e-procurement should be disclosed under Section 4. At present the limit is fixed at </w:t>
      </w:r>
      <w:proofErr w:type="spellStart"/>
      <w:r>
        <w:rPr>
          <w:sz w:val="24"/>
        </w:rPr>
        <w:t>Rs</w:t>
      </w:r>
      <w:proofErr w:type="spellEnd"/>
      <w:r>
        <w:rPr>
          <w:sz w:val="24"/>
        </w:rPr>
        <w:t xml:space="preserve">. 10.00 lakhs. In case of procurements made through DGS&amp;D Rate Contracts or through </w:t>
      </w:r>
      <w:proofErr w:type="spellStart"/>
      <w:r>
        <w:rPr>
          <w:sz w:val="24"/>
        </w:rPr>
        <w:t>Kendriya</w:t>
      </w:r>
      <w:proofErr w:type="spellEnd"/>
      <w:r>
        <w:rPr>
          <w:sz w:val="24"/>
        </w:rPr>
        <w:t xml:space="preserve"> </w:t>
      </w:r>
      <w:proofErr w:type="spellStart"/>
      <w:r>
        <w:rPr>
          <w:sz w:val="24"/>
        </w:rPr>
        <w:t>Bhandar</w:t>
      </w:r>
      <w:proofErr w:type="spellEnd"/>
      <w:r>
        <w:rPr>
          <w:sz w:val="24"/>
        </w:rPr>
        <w:t>/ NCCF, only award details nee</w:t>
      </w:r>
      <w:r>
        <w:rPr>
          <w:sz w:val="24"/>
        </w:rPr>
        <w:t xml:space="preserve">d to be published. </w:t>
      </w:r>
      <w:proofErr w:type="gramStart"/>
      <w:r>
        <w:rPr>
          <w:sz w:val="24"/>
        </w:rPr>
        <w:t>However</w:t>
      </w:r>
      <w:proofErr w:type="gramEnd"/>
      <w:r>
        <w:rPr>
          <w:sz w:val="24"/>
        </w:rPr>
        <w:t xml:space="preserve"> information about procurement which fall within the purview of Section 8 of the RTI Act would be</w:t>
      </w:r>
      <w:r>
        <w:rPr>
          <w:spacing w:val="-3"/>
          <w:sz w:val="24"/>
        </w:rPr>
        <w:t xml:space="preserve"> </w:t>
      </w:r>
      <w:r>
        <w:rPr>
          <w:sz w:val="24"/>
        </w:rPr>
        <w:t>exempt.</w:t>
      </w:r>
    </w:p>
    <w:p w:rsidR="00E8799E" w:rsidRDefault="00644457">
      <w:pPr>
        <w:pStyle w:val="Heading2"/>
        <w:numPr>
          <w:ilvl w:val="1"/>
          <w:numId w:val="7"/>
        </w:numPr>
        <w:tabs>
          <w:tab w:val="left" w:pos="940"/>
          <w:tab w:val="left" w:pos="941"/>
        </w:tabs>
        <w:spacing w:before="201"/>
      </w:pPr>
      <w:r>
        <w:t>Public Private</w:t>
      </w:r>
      <w:r>
        <w:rPr>
          <w:spacing w:val="-3"/>
        </w:rPr>
        <w:t xml:space="preserve"> </w:t>
      </w:r>
      <w:r>
        <w:t>Partnerships</w:t>
      </w:r>
    </w:p>
    <w:p w:rsidR="00E8799E" w:rsidRDefault="00644457">
      <w:pPr>
        <w:pStyle w:val="ListParagraph"/>
        <w:numPr>
          <w:ilvl w:val="2"/>
          <w:numId w:val="7"/>
        </w:numPr>
        <w:tabs>
          <w:tab w:val="left" w:pos="941"/>
        </w:tabs>
        <w:spacing w:before="147" w:line="360" w:lineRule="auto"/>
        <w:ind w:right="212" w:firstLine="0"/>
        <w:jc w:val="both"/>
        <w:rPr>
          <w:sz w:val="24"/>
        </w:rPr>
      </w:pPr>
      <w:r>
        <w:rPr>
          <w:sz w:val="24"/>
        </w:rPr>
        <w:t>If Public services are proposed to be provided through a Public Private Partnership (PPP), all information relating to the PPPs must be disclosed in the public domain by the Public Authority entering into the PPP contract/concession agreement. This may inc</w:t>
      </w:r>
      <w:r>
        <w:rPr>
          <w:sz w:val="24"/>
        </w:rPr>
        <w:t>lude details of the Special Purpose Vehicle (SPV), if any set up, detailed project reports, concession agreements, operation and maintenance manuals and other documents generated as part of the implementation of the PPP project. The documents under the amb</w:t>
      </w:r>
      <w:r>
        <w:rPr>
          <w:sz w:val="24"/>
        </w:rPr>
        <w:t>it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exemption</w:t>
      </w:r>
      <w:r>
        <w:rPr>
          <w:spacing w:val="15"/>
          <w:sz w:val="24"/>
        </w:rPr>
        <w:t xml:space="preserve"> </w:t>
      </w:r>
      <w:r>
        <w:rPr>
          <w:sz w:val="24"/>
        </w:rPr>
        <w:t>from</w:t>
      </w:r>
      <w:r>
        <w:rPr>
          <w:spacing w:val="15"/>
          <w:sz w:val="24"/>
        </w:rPr>
        <w:t xml:space="preserve"> </w:t>
      </w:r>
      <w:r>
        <w:rPr>
          <w:sz w:val="24"/>
        </w:rPr>
        <w:t>disclosure</w:t>
      </w:r>
      <w:r>
        <w:rPr>
          <w:spacing w:val="15"/>
          <w:sz w:val="24"/>
        </w:rPr>
        <w:t xml:space="preserve"> </w:t>
      </w:r>
      <w:r>
        <w:rPr>
          <w:sz w:val="24"/>
        </w:rPr>
        <w:t>of</w:t>
      </w:r>
      <w:r>
        <w:rPr>
          <w:spacing w:val="17"/>
          <w:sz w:val="24"/>
        </w:rPr>
        <w:t xml:space="preserve"> </w:t>
      </w:r>
      <w:r>
        <w:rPr>
          <w:sz w:val="24"/>
        </w:rPr>
        <w:t>information</w:t>
      </w:r>
      <w:r>
        <w:rPr>
          <w:spacing w:val="16"/>
          <w:sz w:val="24"/>
        </w:rPr>
        <w:t xml:space="preserve"> </w:t>
      </w:r>
      <w:r>
        <w:rPr>
          <w:sz w:val="24"/>
        </w:rPr>
        <w:t>under</w:t>
      </w:r>
      <w:r>
        <w:rPr>
          <w:spacing w:val="17"/>
          <w:sz w:val="24"/>
        </w:rPr>
        <w:t xml:space="preserve"> </w:t>
      </w:r>
      <w:r>
        <w:rPr>
          <w:sz w:val="24"/>
        </w:rPr>
        <w:t>section</w:t>
      </w:r>
      <w:r>
        <w:rPr>
          <w:spacing w:val="17"/>
          <w:sz w:val="24"/>
        </w:rPr>
        <w:t xml:space="preserve"> </w:t>
      </w:r>
      <w:r>
        <w:rPr>
          <w:sz w:val="24"/>
        </w:rPr>
        <w:t>8(1)(d)</w:t>
      </w:r>
      <w:r>
        <w:rPr>
          <w:spacing w:val="16"/>
          <w:sz w:val="24"/>
        </w:rPr>
        <w:t xml:space="preserve"> </w:t>
      </w:r>
      <w:r>
        <w:rPr>
          <w:sz w:val="24"/>
        </w:rPr>
        <w:t>and</w:t>
      </w:r>
      <w:r>
        <w:rPr>
          <w:spacing w:val="17"/>
          <w:sz w:val="24"/>
        </w:rPr>
        <w:t xml:space="preserve"> </w:t>
      </w:r>
      <w:r>
        <w:rPr>
          <w:sz w:val="24"/>
        </w:rPr>
        <w:t>8(1)(j)</w:t>
      </w:r>
      <w:r>
        <w:rPr>
          <w:spacing w:val="16"/>
          <w:sz w:val="24"/>
        </w:rPr>
        <w:t xml:space="preserve"> </w:t>
      </w:r>
      <w:r>
        <w:rPr>
          <w:sz w:val="24"/>
        </w:rPr>
        <w:t>of</w:t>
      </w:r>
    </w:p>
    <w:p w:rsidR="00E8799E" w:rsidRDefault="00E8799E">
      <w:pPr>
        <w:pStyle w:val="BodyText"/>
        <w:spacing w:before="10"/>
        <w:rPr>
          <w:sz w:val="9"/>
        </w:rPr>
      </w:pPr>
    </w:p>
    <w:p w:rsidR="00E8799E" w:rsidRDefault="00644457">
      <w:pPr>
        <w:spacing w:before="56"/>
        <w:ind w:right="214"/>
        <w:jc w:val="right"/>
      </w:pPr>
      <w:r>
        <w:t>1</w:t>
      </w:r>
    </w:p>
    <w:p w:rsidR="00E8799E" w:rsidRDefault="00E8799E">
      <w:pPr>
        <w:jc w:val="right"/>
        <w:sectPr w:rsidR="00E8799E">
          <w:pgSz w:w="11910" w:h="16840"/>
          <w:pgMar w:top="1400" w:right="1220" w:bottom="280" w:left="1220" w:header="720" w:footer="720" w:gutter="0"/>
          <w:cols w:space="720"/>
        </w:sectPr>
      </w:pPr>
    </w:p>
    <w:p w:rsidR="00E8799E" w:rsidRDefault="00644457">
      <w:pPr>
        <w:pStyle w:val="BodyText"/>
        <w:spacing w:before="41" w:line="360" w:lineRule="auto"/>
        <w:ind w:left="220" w:right="212"/>
        <w:jc w:val="both"/>
      </w:pPr>
      <w:r>
        <w:rPr>
          <w:noProof/>
        </w:rPr>
        <w:lastRenderedPageBreak/>
        <w:drawing>
          <wp:anchor distT="0" distB="0" distL="0" distR="0" simplePos="0" relativeHeight="268422743" behindDoc="1" locked="0" layoutInCell="1" allowOverlap="1">
            <wp:simplePos x="0" y="0"/>
            <wp:positionH relativeFrom="page">
              <wp:posOffset>0</wp:posOffset>
            </wp:positionH>
            <wp:positionV relativeFrom="page">
              <wp:posOffset>3047</wp:posOffset>
            </wp:positionV>
            <wp:extent cx="7560564" cy="10686288"/>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7560564" cy="10686288"/>
                    </a:xfrm>
                    <a:prstGeom prst="rect">
                      <a:avLst/>
                    </a:prstGeom>
                  </pic:spPr>
                </pic:pic>
              </a:graphicData>
            </a:graphic>
          </wp:anchor>
        </w:drawing>
      </w:r>
      <w:r>
        <w:t xml:space="preserve">the RTI Act would not be disclosed </w:t>
      </w:r>
      <w:proofErr w:type="spellStart"/>
      <w:r>
        <w:rPr>
          <w:i/>
        </w:rPr>
        <w:t>suo</w:t>
      </w:r>
      <w:proofErr w:type="spellEnd"/>
      <w:r>
        <w:rPr>
          <w:i/>
        </w:rPr>
        <w:t xml:space="preserve"> </w:t>
      </w:r>
      <w:proofErr w:type="spellStart"/>
      <w:r>
        <w:rPr>
          <w:i/>
        </w:rPr>
        <w:t>motu</w:t>
      </w:r>
      <w:proofErr w:type="spellEnd"/>
      <w:r>
        <w:t>. Further, information about fees, tolls, or other kinds of revenue that may be collected under authorizati</w:t>
      </w:r>
      <w:r>
        <w:t>on from the Government, information in respect of outputs and outcomes, process of selection of the private sector party may also be proactively disclosed. All payments made under the PPP project may also be disclosed in a periodic manner along with the pu</w:t>
      </w:r>
      <w:r>
        <w:t>rpose of making such payment.</w:t>
      </w:r>
    </w:p>
    <w:p w:rsidR="00E8799E" w:rsidRDefault="00E8799E">
      <w:pPr>
        <w:pStyle w:val="BodyText"/>
        <w:spacing w:before="9"/>
        <w:rPr>
          <w:sz w:val="19"/>
        </w:rPr>
      </w:pPr>
    </w:p>
    <w:p w:rsidR="00E8799E" w:rsidRDefault="00644457">
      <w:pPr>
        <w:pStyle w:val="Heading2"/>
        <w:numPr>
          <w:ilvl w:val="1"/>
          <w:numId w:val="7"/>
        </w:numPr>
        <w:tabs>
          <w:tab w:val="left" w:pos="941"/>
        </w:tabs>
        <w:jc w:val="both"/>
      </w:pPr>
      <w:r>
        <w:t>Transfer Policy and Transfer</w:t>
      </w:r>
      <w:r>
        <w:rPr>
          <w:spacing w:val="-3"/>
        </w:rPr>
        <w:t xml:space="preserve"> </w:t>
      </w:r>
      <w:r>
        <w:t>Orders</w:t>
      </w:r>
    </w:p>
    <w:p w:rsidR="00E8799E" w:rsidRDefault="00644457">
      <w:pPr>
        <w:pStyle w:val="ListParagraph"/>
        <w:numPr>
          <w:ilvl w:val="2"/>
          <w:numId w:val="7"/>
        </w:numPr>
        <w:tabs>
          <w:tab w:val="left" w:pos="941"/>
        </w:tabs>
        <w:spacing w:before="147" w:line="360" w:lineRule="auto"/>
        <w:ind w:right="212" w:firstLine="0"/>
        <w:jc w:val="both"/>
        <w:rPr>
          <w:sz w:val="24"/>
        </w:rPr>
      </w:pPr>
      <w:r>
        <w:rPr>
          <w:sz w:val="24"/>
        </w:rPr>
        <w:t xml:space="preserve">Transfer policy for different grades/cadres of employees serving in Public Authority should be proactively disclosed. All transfer orders should be publicized through the website or in any </w:t>
      </w:r>
      <w:r>
        <w:rPr>
          <w:sz w:val="24"/>
        </w:rPr>
        <w:t xml:space="preserve">other manner listed in Section 4(4) of the Act. These guidelines would not be applicable in cases of transfers made keeping in view sovereignty, integrity, security, strategic, scientific or economic interests of the State and the exemptions covered under </w:t>
      </w:r>
      <w:r>
        <w:rPr>
          <w:sz w:val="24"/>
        </w:rPr>
        <w:t>Section 8 of the Act. These instructions would not apply to security and intelligence organizations under the second schedule of the RTI</w:t>
      </w:r>
      <w:r>
        <w:rPr>
          <w:spacing w:val="-9"/>
          <w:sz w:val="24"/>
        </w:rPr>
        <w:t xml:space="preserve"> </w:t>
      </w:r>
      <w:r>
        <w:rPr>
          <w:sz w:val="24"/>
        </w:rPr>
        <w:t>Act.</w:t>
      </w:r>
    </w:p>
    <w:p w:rsidR="00E8799E" w:rsidRDefault="00E8799E">
      <w:pPr>
        <w:pStyle w:val="BodyText"/>
        <w:spacing w:before="7"/>
        <w:rPr>
          <w:sz w:val="19"/>
        </w:rPr>
      </w:pPr>
    </w:p>
    <w:p w:rsidR="00E8799E" w:rsidRDefault="00644457">
      <w:pPr>
        <w:pStyle w:val="Heading2"/>
        <w:numPr>
          <w:ilvl w:val="1"/>
          <w:numId w:val="7"/>
        </w:numPr>
        <w:tabs>
          <w:tab w:val="left" w:pos="941"/>
        </w:tabs>
        <w:jc w:val="both"/>
      </w:pPr>
      <w:r>
        <w:t>RTI Applications</w:t>
      </w:r>
    </w:p>
    <w:p w:rsidR="00E8799E" w:rsidRDefault="00644457">
      <w:pPr>
        <w:pStyle w:val="ListParagraph"/>
        <w:numPr>
          <w:ilvl w:val="2"/>
          <w:numId w:val="7"/>
        </w:numPr>
        <w:tabs>
          <w:tab w:val="left" w:pos="941"/>
        </w:tabs>
        <w:spacing w:before="146" w:line="360" w:lineRule="auto"/>
        <w:ind w:right="212" w:firstLine="0"/>
        <w:jc w:val="both"/>
        <w:rPr>
          <w:sz w:val="24"/>
        </w:rPr>
      </w:pPr>
      <w:r>
        <w:rPr>
          <w:sz w:val="24"/>
        </w:rPr>
        <w:t>All Public Authorities shall proactively disclose RTI applications and appeals received and their responses, on the websites maintained by Public Authorities with search facility based on key words. RTI applications and appeals received and their responses</w:t>
      </w:r>
      <w:r>
        <w:rPr>
          <w:sz w:val="24"/>
        </w:rPr>
        <w:t xml:space="preserve"> relating to the personal information of an individual may not be disclosed, as they do not serve any public</w:t>
      </w:r>
      <w:r>
        <w:rPr>
          <w:spacing w:val="-4"/>
          <w:sz w:val="24"/>
        </w:rPr>
        <w:t xml:space="preserve"> </w:t>
      </w:r>
      <w:r>
        <w:rPr>
          <w:sz w:val="24"/>
        </w:rPr>
        <w:t>interest.</w:t>
      </w:r>
    </w:p>
    <w:p w:rsidR="00E8799E" w:rsidRDefault="00E8799E">
      <w:pPr>
        <w:pStyle w:val="BodyText"/>
        <w:spacing w:before="9"/>
        <w:rPr>
          <w:sz w:val="19"/>
        </w:rPr>
      </w:pPr>
    </w:p>
    <w:p w:rsidR="00E8799E" w:rsidRDefault="00644457">
      <w:pPr>
        <w:pStyle w:val="Heading2"/>
        <w:numPr>
          <w:ilvl w:val="1"/>
          <w:numId w:val="7"/>
        </w:numPr>
        <w:tabs>
          <w:tab w:val="left" w:pos="941"/>
        </w:tabs>
        <w:jc w:val="both"/>
      </w:pPr>
      <w:r>
        <w:t>CAG &amp; PAC</w:t>
      </w:r>
      <w:r>
        <w:rPr>
          <w:spacing w:val="-3"/>
        </w:rPr>
        <w:t xml:space="preserve"> </w:t>
      </w:r>
      <w:r>
        <w:t>paras</w:t>
      </w:r>
    </w:p>
    <w:p w:rsidR="00E8799E" w:rsidRDefault="00644457">
      <w:pPr>
        <w:pStyle w:val="ListParagraph"/>
        <w:numPr>
          <w:ilvl w:val="2"/>
          <w:numId w:val="7"/>
        </w:numPr>
        <w:tabs>
          <w:tab w:val="left" w:pos="941"/>
        </w:tabs>
        <w:spacing w:before="147" w:line="360" w:lineRule="auto"/>
        <w:ind w:right="213" w:firstLine="0"/>
        <w:jc w:val="both"/>
        <w:rPr>
          <w:sz w:val="24"/>
        </w:rPr>
      </w:pPr>
      <w:r>
        <w:rPr>
          <w:sz w:val="24"/>
        </w:rPr>
        <w:t>Public Authorities may proactively disclose the CAG &amp; PAC paras and the Action Taken Reports (ATRs) only after these hav</w:t>
      </w:r>
      <w:r>
        <w:rPr>
          <w:sz w:val="24"/>
        </w:rPr>
        <w:t xml:space="preserve">e been laid on the table of both the houses of the Parliament. However, CAG paras dealing with information about the issues of sovereignty, integrity, security, strategic, scientific or economic interests of the State and information covered under Section </w:t>
      </w:r>
      <w:r>
        <w:rPr>
          <w:sz w:val="24"/>
        </w:rPr>
        <w:t>8 of the RTI Act would be</w:t>
      </w:r>
      <w:r>
        <w:rPr>
          <w:spacing w:val="-11"/>
          <w:sz w:val="24"/>
        </w:rPr>
        <w:t xml:space="preserve"> </w:t>
      </w:r>
      <w:r>
        <w:rPr>
          <w:sz w:val="24"/>
        </w:rPr>
        <w:t>exempt.</w:t>
      </w:r>
    </w:p>
    <w:p w:rsidR="00E8799E" w:rsidRDefault="00644457">
      <w:pPr>
        <w:pStyle w:val="Heading2"/>
        <w:numPr>
          <w:ilvl w:val="1"/>
          <w:numId w:val="7"/>
        </w:numPr>
        <w:tabs>
          <w:tab w:val="left" w:pos="941"/>
        </w:tabs>
        <w:spacing w:before="201"/>
        <w:jc w:val="both"/>
      </w:pPr>
      <w:r>
        <w:t>Citizens</w:t>
      </w:r>
      <w:r>
        <w:rPr>
          <w:spacing w:val="-1"/>
        </w:rPr>
        <w:t xml:space="preserve"> </w:t>
      </w:r>
      <w:r>
        <w:t>Charter</w:t>
      </w:r>
    </w:p>
    <w:p w:rsidR="00E8799E" w:rsidRDefault="00644457">
      <w:pPr>
        <w:pStyle w:val="ListParagraph"/>
        <w:numPr>
          <w:ilvl w:val="2"/>
          <w:numId w:val="7"/>
        </w:numPr>
        <w:tabs>
          <w:tab w:val="left" w:pos="941"/>
        </w:tabs>
        <w:spacing w:before="146" w:line="360" w:lineRule="auto"/>
        <w:ind w:right="215" w:firstLine="0"/>
        <w:jc w:val="both"/>
        <w:rPr>
          <w:sz w:val="24"/>
        </w:rPr>
      </w:pPr>
      <w:r>
        <w:rPr>
          <w:sz w:val="24"/>
        </w:rPr>
        <w:t xml:space="preserve">Citizens Charter prepared by the Ministry/Department, as part of the Result Framework Document of the department/organization should be proactively disclosed and </w:t>
      </w:r>
      <w:proofErr w:type="gramStart"/>
      <w:r>
        <w:rPr>
          <w:sz w:val="24"/>
        </w:rPr>
        <w:t>six monthly</w:t>
      </w:r>
      <w:proofErr w:type="gramEnd"/>
      <w:r>
        <w:rPr>
          <w:sz w:val="24"/>
        </w:rPr>
        <w:t xml:space="preserve"> report on the performance against the benchmarks set in Citizens Charter should al</w:t>
      </w:r>
      <w:r>
        <w:rPr>
          <w:sz w:val="24"/>
        </w:rPr>
        <w:t>so be displayed on the website of public</w:t>
      </w:r>
      <w:r>
        <w:rPr>
          <w:spacing w:val="-14"/>
          <w:sz w:val="24"/>
        </w:rPr>
        <w:t xml:space="preserve"> </w:t>
      </w:r>
      <w:r>
        <w:rPr>
          <w:sz w:val="24"/>
        </w:rPr>
        <w:t>authorities.</w:t>
      </w:r>
    </w:p>
    <w:p w:rsidR="00E8799E" w:rsidRDefault="00644457">
      <w:pPr>
        <w:spacing w:before="47"/>
        <w:ind w:right="214"/>
        <w:jc w:val="right"/>
      </w:pPr>
      <w:r>
        <w:t>2</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Heading2"/>
        <w:numPr>
          <w:ilvl w:val="1"/>
          <w:numId w:val="7"/>
        </w:numPr>
        <w:tabs>
          <w:tab w:val="left" w:pos="941"/>
        </w:tabs>
        <w:spacing w:before="41"/>
        <w:jc w:val="both"/>
      </w:pPr>
      <w:r>
        <w:rPr>
          <w:noProof/>
        </w:rPr>
        <w:lastRenderedPageBreak/>
        <w:drawing>
          <wp:anchor distT="0" distB="0" distL="0" distR="0" simplePos="0" relativeHeight="268422767" behindDoc="1" locked="0" layoutInCell="1" allowOverlap="1">
            <wp:simplePos x="0" y="0"/>
            <wp:positionH relativeFrom="page">
              <wp:posOffset>0</wp:posOffset>
            </wp:positionH>
            <wp:positionV relativeFrom="page">
              <wp:posOffset>3047</wp:posOffset>
            </wp:positionV>
            <wp:extent cx="7560564" cy="10686288"/>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7560564" cy="10686288"/>
                    </a:xfrm>
                    <a:prstGeom prst="rect">
                      <a:avLst/>
                    </a:prstGeom>
                  </pic:spPr>
                </pic:pic>
              </a:graphicData>
            </a:graphic>
          </wp:anchor>
        </w:drawing>
      </w:r>
      <w:r>
        <w:t>Discretionary and Non-discretionary</w:t>
      </w:r>
      <w:r>
        <w:rPr>
          <w:spacing w:val="-4"/>
        </w:rPr>
        <w:t xml:space="preserve"> </w:t>
      </w:r>
      <w:r>
        <w:t>grants</w:t>
      </w:r>
    </w:p>
    <w:p w:rsidR="00E8799E" w:rsidRDefault="00E8799E">
      <w:pPr>
        <w:pStyle w:val="BodyText"/>
        <w:spacing w:before="10"/>
        <w:rPr>
          <w:b/>
          <w:sz w:val="21"/>
        </w:rPr>
      </w:pPr>
    </w:p>
    <w:p w:rsidR="00E8799E" w:rsidRDefault="00644457">
      <w:pPr>
        <w:pStyle w:val="ListParagraph"/>
        <w:numPr>
          <w:ilvl w:val="2"/>
          <w:numId w:val="7"/>
        </w:numPr>
        <w:tabs>
          <w:tab w:val="left" w:pos="941"/>
        </w:tabs>
        <w:spacing w:line="360" w:lineRule="auto"/>
        <w:ind w:right="217" w:firstLine="0"/>
        <w:jc w:val="both"/>
        <w:rPr>
          <w:sz w:val="24"/>
        </w:rPr>
      </w:pPr>
      <w:r>
        <w:rPr>
          <w:sz w:val="24"/>
        </w:rPr>
        <w:t>All discretionary /non-discretionary grants/ allocations to state governments/ NGOs/Other institutions by Ministry/Department should be placed on the website of the Ministry/Department concerned. Annual Accounts of all legal entities who are provided grant</w:t>
      </w:r>
      <w:r>
        <w:rPr>
          <w:sz w:val="24"/>
        </w:rPr>
        <w:t>s by Public Authorities should be made available through publication, directly or indirectly on the Public Authority’s website. Disclosures would be subject to provisions of Section 8 to 11 of the RTI</w:t>
      </w:r>
      <w:r>
        <w:rPr>
          <w:spacing w:val="-8"/>
          <w:sz w:val="24"/>
        </w:rPr>
        <w:t xml:space="preserve"> </w:t>
      </w:r>
      <w:r>
        <w:rPr>
          <w:sz w:val="24"/>
        </w:rPr>
        <w:t>Act.</w:t>
      </w:r>
    </w:p>
    <w:p w:rsidR="00E8799E" w:rsidRDefault="00644457">
      <w:pPr>
        <w:pStyle w:val="Heading2"/>
        <w:numPr>
          <w:ilvl w:val="1"/>
          <w:numId w:val="7"/>
        </w:numPr>
        <w:tabs>
          <w:tab w:val="left" w:pos="941"/>
        </w:tabs>
        <w:spacing w:before="122"/>
        <w:jc w:val="both"/>
      </w:pPr>
      <w:r>
        <w:t>Foreign Tours of</w:t>
      </w:r>
      <w:r>
        <w:rPr>
          <w:spacing w:val="-1"/>
        </w:rPr>
        <w:t xml:space="preserve"> </w:t>
      </w:r>
      <w:r>
        <w:t>PM/Ministers</w:t>
      </w:r>
    </w:p>
    <w:p w:rsidR="00E8799E" w:rsidRDefault="00E8799E">
      <w:pPr>
        <w:pStyle w:val="BodyText"/>
        <w:spacing w:before="9"/>
        <w:rPr>
          <w:b/>
          <w:sz w:val="21"/>
        </w:rPr>
      </w:pPr>
    </w:p>
    <w:p w:rsidR="00E8799E" w:rsidRDefault="00644457">
      <w:pPr>
        <w:pStyle w:val="ListParagraph"/>
        <w:numPr>
          <w:ilvl w:val="2"/>
          <w:numId w:val="7"/>
        </w:numPr>
        <w:tabs>
          <w:tab w:val="left" w:pos="941"/>
        </w:tabs>
        <w:spacing w:line="360" w:lineRule="auto"/>
        <w:ind w:right="211" w:firstLine="0"/>
        <w:jc w:val="both"/>
        <w:rPr>
          <w:sz w:val="24"/>
        </w:rPr>
      </w:pPr>
      <w:r>
        <w:rPr>
          <w:sz w:val="24"/>
        </w:rPr>
        <w:t>A large number of R</w:t>
      </w:r>
      <w:r>
        <w:rPr>
          <w:sz w:val="24"/>
        </w:rPr>
        <w:t xml:space="preserve">TI queries are being filed on official tours undertaken by Ministers or officials of various Government Ministries/Departments. Information regarding the nature, place and period of foreign and domestic tours of Prime Minister are already disclosed on the </w:t>
      </w:r>
      <w:r>
        <w:rPr>
          <w:sz w:val="24"/>
        </w:rPr>
        <w:t>PMO’s</w:t>
      </w:r>
      <w:r>
        <w:rPr>
          <w:spacing w:val="-4"/>
          <w:sz w:val="24"/>
        </w:rPr>
        <w:t xml:space="preserve"> </w:t>
      </w:r>
      <w:r>
        <w:rPr>
          <w:sz w:val="24"/>
        </w:rPr>
        <w:t>website.</w:t>
      </w:r>
    </w:p>
    <w:p w:rsidR="00E8799E" w:rsidRDefault="00644457">
      <w:pPr>
        <w:pStyle w:val="ListParagraph"/>
        <w:numPr>
          <w:ilvl w:val="2"/>
          <w:numId w:val="7"/>
        </w:numPr>
        <w:tabs>
          <w:tab w:val="left" w:pos="941"/>
        </w:tabs>
        <w:spacing w:line="360" w:lineRule="auto"/>
        <w:ind w:right="211" w:firstLine="0"/>
        <w:jc w:val="both"/>
        <w:rPr>
          <w:sz w:val="24"/>
        </w:rPr>
      </w:pPr>
      <w:r>
        <w:rPr>
          <w:sz w:val="24"/>
        </w:rPr>
        <w:t xml:space="preserve">As per </w:t>
      </w:r>
      <w:proofErr w:type="spellStart"/>
      <w:r>
        <w:rPr>
          <w:sz w:val="24"/>
        </w:rPr>
        <w:t>DoPT’s</w:t>
      </w:r>
      <w:proofErr w:type="spellEnd"/>
      <w:r>
        <w:rPr>
          <w:sz w:val="24"/>
        </w:rPr>
        <w:t xml:space="preserve"> OM No. 1/8/2012-IR dated 11/9/2012, Public Authorities may proactively disclose the details of foreign and domestic official tours undertaken by the Minister(s) and officials of the rank of Joint Secretary to the Government of </w:t>
      </w:r>
      <w:r>
        <w:rPr>
          <w:sz w:val="24"/>
        </w:rPr>
        <w:t>India and above and Heads of Departments, since 1</w:t>
      </w:r>
      <w:r>
        <w:rPr>
          <w:sz w:val="24"/>
          <w:vertAlign w:val="superscript"/>
        </w:rPr>
        <w:t>st</w:t>
      </w:r>
      <w:r>
        <w:rPr>
          <w:sz w:val="24"/>
        </w:rPr>
        <w:t xml:space="preserve"> </w:t>
      </w:r>
      <w:proofErr w:type="gramStart"/>
      <w:r>
        <w:rPr>
          <w:sz w:val="24"/>
        </w:rPr>
        <w:t>January,</w:t>
      </w:r>
      <w:proofErr w:type="gramEnd"/>
      <w:r>
        <w:rPr>
          <w:sz w:val="24"/>
        </w:rPr>
        <w:t xml:space="preserve"> 2012. The disclosures may be updated once every</w:t>
      </w:r>
      <w:r>
        <w:rPr>
          <w:spacing w:val="-1"/>
          <w:sz w:val="24"/>
        </w:rPr>
        <w:t xml:space="preserve"> </w:t>
      </w:r>
      <w:r>
        <w:rPr>
          <w:sz w:val="24"/>
        </w:rPr>
        <w:t>quarter.</w:t>
      </w:r>
    </w:p>
    <w:p w:rsidR="00E8799E" w:rsidRDefault="00644457">
      <w:pPr>
        <w:pStyle w:val="BodyText"/>
        <w:spacing w:before="1" w:line="360" w:lineRule="auto"/>
        <w:ind w:left="220" w:right="212"/>
        <w:jc w:val="both"/>
      </w:pPr>
      <w:r>
        <w:t xml:space="preserve">1.8.3. Information to be disclosed proactively may contain nature </w:t>
      </w:r>
      <w:proofErr w:type="gramStart"/>
      <w:r>
        <w:t>of  the</w:t>
      </w:r>
      <w:proofErr w:type="gramEnd"/>
      <w:r>
        <w:t xml:space="preserve">  official  tour, places visited, the period, number of people in</w:t>
      </w:r>
      <w:r>
        <w:t xml:space="preserve">cluded in the official delegation and total cost of such travel undertaken. Exemptions under Section 8 of the RTI Act, 2005 may be kept in view while disclosing the information. These instructions would not apply to security and intelligence </w:t>
      </w:r>
      <w:proofErr w:type="spellStart"/>
      <w:r>
        <w:t>organisations</w:t>
      </w:r>
      <w:proofErr w:type="spellEnd"/>
      <w:r>
        <w:t xml:space="preserve"> </w:t>
      </w:r>
      <w:r>
        <w:t xml:space="preserve">under the second schedule of the RTI Act, 2005 and CVOs </w:t>
      </w:r>
      <w:proofErr w:type="gramStart"/>
      <w:r>
        <w:t>of  public</w:t>
      </w:r>
      <w:proofErr w:type="gramEnd"/>
      <w:r>
        <w:rPr>
          <w:spacing w:val="-4"/>
        </w:rPr>
        <w:t xml:space="preserve"> </w:t>
      </w:r>
      <w:r>
        <w:t>authoriti</w:t>
      </w:r>
      <w:bookmarkEnd w:id="6"/>
      <w:bookmarkEnd w:id="7"/>
      <w:r>
        <w:t>es.</w:t>
      </w: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spacing w:before="1"/>
        <w:rPr>
          <w:sz w:val="17"/>
        </w:rPr>
      </w:pPr>
    </w:p>
    <w:p w:rsidR="00E8799E" w:rsidRDefault="00644457">
      <w:pPr>
        <w:spacing w:before="57"/>
        <w:ind w:right="214"/>
        <w:jc w:val="right"/>
      </w:pPr>
      <w:r>
        <w:t>3</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Heading2"/>
        <w:numPr>
          <w:ilvl w:val="1"/>
          <w:numId w:val="6"/>
        </w:numPr>
        <w:tabs>
          <w:tab w:val="left" w:pos="940"/>
          <w:tab w:val="left" w:pos="941"/>
        </w:tabs>
        <w:spacing w:before="41"/>
        <w:ind w:firstLine="0"/>
      </w:pPr>
      <w:r>
        <w:rPr>
          <w:noProof/>
        </w:rPr>
        <w:lastRenderedPageBreak/>
        <w:drawing>
          <wp:anchor distT="0" distB="0" distL="0" distR="0" simplePos="0" relativeHeight="268422791" behindDoc="1" locked="0" layoutInCell="1" allowOverlap="1">
            <wp:simplePos x="0" y="0"/>
            <wp:positionH relativeFrom="page">
              <wp:posOffset>-1214203</wp:posOffset>
            </wp:positionH>
            <wp:positionV relativeFrom="page">
              <wp:posOffset>-1114227</wp:posOffset>
            </wp:positionV>
            <wp:extent cx="7560564" cy="10686288"/>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7" cstate="print"/>
                    <a:stretch>
                      <a:fillRect/>
                    </a:stretch>
                  </pic:blipFill>
                  <pic:spPr>
                    <a:xfrm>
                      <a:off x="0" y="0"/>
                      <a:ext cx="7560564" cy="10686288"/>
                    </a:xfrm>
                    <a:prstGeom prst="rect">
                      <a:avLst/>
                    </a:prstGeom>
                  </pic:spPr>
                </pic:pic>
              </a:graphicData>
            </a:graphic>
          </wp:anchor>
        </w:drawing>
      </w:r>
      <w:bookmarkStart w:id="8" w:name="OLE_LINK13"/>
      <w:bookmarkStart w:id="9" w:name="OLE_LINK14"/>
      <w:r>
        <w:t>Guidelines for digital publication of proactive disclosure under Section</w:t>
      </w:r>
      <w:r>
        <w:rPr>
          <w:spacing w:val="-14"/>
        </w:rPr>
        <w:t xml:space="preserve"> </w:t>
      </w:r>
      <w:bookmarkEnd w:id="8"/>
      <w:bookmarkEnd w:id="9"/>
      <w:r>
        <w:t>4</w:t>
      </w:r>
    </w:p>
    <w:p w:rsidR="00E8799E" w:rsidRDefault="00E8799E">
      <w:pPr>
        <w:pStyle w:val="BodyText"/>
        <w:spacing w:before="5"/>
        <w:rPr>
          <w:b/>
          <w:sz w:val="31"/>
        </w:rPr>
      </w:pPr>
    </w:p>
    <w:p w:rsidR="00E8799E" w:rsidRDefault="00644457">
      <w:pPr>
        <w:pStyle w:val="ListParagraph"/>
        <w:numPr>
          <w:ilvl w:val="1"/>
          <w:numId w:val="6"/>
        </w:numPr>
        <w:tabs>
          <w:tab w:val="left" w:pos="941"/>
        </w:tabs>
        <w:spacing w:before="1" w:line="360" w:lineRule="auto"/>
        <w:ind w:right="214" w:firstLine="0"/>
        <w:jc w:val="both"/>
        <w:rPr>
          <w:sz w:val="24"/>
        </w:rPr>
      </w:pPr>
      <w:bookmarkStart w:id="10" w:name="OLE_LINK15"/>
      <w:bookmarkStart w:id="11" w:name="OLE_LINK16"/>
      <w:r>
        <w:rPr>
          <w:sz w:val="24"/>
        </w:rPr>
        <w:t>Section 4 lays down that information should be provided through many mediums depending upon the level of the public authority and the recipient of information (for example, in case of Panchayat, wall painting may be more effective means of dissemination of</w:t>
      </w:r>
      <w:r>
        <w:rPr>
          <w:sz w:val="24"/>
        </w:rPr>
        <w:t xml:space="preserve"> information), and that more and more proactive disclosure would gradually be made through Internet. There is need for more clear guidelines for web-based publication of information for</w:t>
      </w:r>
      <w:r>
        <w:rPr>
          <w:spacing w:val="-4"/>
          <w:sz w:val="24"/>
        </w:rPr>
        <w:t xml:space="preserve"> </w:t>
      </w:r>
      <w:r>
        <w:rPr>
          <w:sz w:val="24"/>
        </w:rPr>
        <w:t>disclosure.</w:t>
      </w:r>
    </w:p>
    <w:bookmarkEnd w:id="10"/>
    <w:bookmarkEnd w:id="11"/>
    <w:p w:rsidR="00E8799E" w:rsidRDefault="00E8799E">
      <w:pPr>
        <w:pStyle w:val="BodyText"/>
        <w:spacing w:before="11"/>
        <w:rPr>
          <w:sz w:val="19"/>
        </w:rPr>
      </w:pPr>
    </w:p>
    <w:p w:rsidR="00E8799E" w:rsidRDefault="00644457">
      <w:pPr>
        <w:pStyle w:val="ListParagraph"/>
        <w:numPr>
          <w:ilvl w:val="1"/>
          <w:numId w:val="6"/>
        </w:numPr>
        <w:tabs>
          <w:tab w:val="left" w:pos="941"/>
        </w:tabs>
        <w:spacing w:before="1" w:line="360" w:lineRule="auto"/>
        <w:ind w:right="213" w:firstLine="0"/>
        <w:jc w:val="both"/>
        <w:rPr>
          <w:sz w:val="24"/>
        </w:rPr>
      </w:pPr>
      <w:r>
        <w:rPr>
          <w:sz w:val="24"/>
        </w:rPr>
        <w:t>The Department of Information Technology has been working</w:t>
      </w:r>
      <w:r>
        <w:rPr>
          <w:sz w:val="24"/>
        </w:rPr>
        <w:t xml:space="preserve"> on setting of technical standards for government websites and the Department of Administrative Reforms &amp; Public Grievances has published guidelines for websites of Government Departments. These guidelines prescribe the manner in which websites need to be </w:t>
      </w:r>
      <w:r>
        <w:rPr>
          <w:sz w:val="24"/>
        </w:rPr>
        <w:t xml:space="preserve">designed and how information should be disclosed. </w:t>
      </w:r>
      <w:bookmarkStart w:id="12" w:name="OLE_LINK17"/>
      <w:bookmarkStart w:id="13" w:name="OLE_LINK18"/>
      <w:r>
        <w:rPr>
          <w:sz w:val="24"/>
        </w:rPr>
        <w:t>While adhering to the standards of government guidelines as laid down by Department of Information Technology and Department of Administrative Reforms &amp; Public Grievances, the following principles additiona</w:t>
      </w:r>
      <w:r>
        <w:rPr>
          <w:sz w:val="24"/>
        </w:rPr>
        <w:t xml:space="preserve">lly should also be kept in view to ensure that websites’ disclosures are complete, easily accessible, technology and platform neutral and in a </w:t>
      </w:r>
      <w:proofErr w:type="gramStart"/>
      <w:r>
        <w:rPr>
          <w:sz w:val="24"/>
        </w:rPr>
        <w:t>form</w:t>
      </w:r>
      <w:proofErr w:type="gramEnd"/>
      <w:r>
        <w:rPr>
          <w:sz w:val="24"/>
        </w:rPr>
        <w:t xml:space="preserve"> which conveys the desired information in an effective and user-friendly</w:t>
      </w:r>
      <w:r>
        <w:rPr>
          <w:spacing w:val="-1"/>
          <w:sz w:val="24"/>
        </w:rPr>
        <w:t xml:space="preserve"> </w:t>
      </w:r>
      <w:r>
        <w:rPr>
          <w:sz w:val="24"/>
        </w:rPr>
        <w:t>manner.</w:t>
      </w:r>
    </w:p>
    <w:p w:rsidR="00E8799E" w:rsidRDefault="00E8799E">
      <w:pPr>
        <w:pStyle w:val="BodyText"/>
        <w:spacing w:before="8"/>
        <w:rPr>
          <w:sz w:val="19"/>
        </w:rPr>
      </w:pPr>
    </w:p>
    <w:p w:rsidR="00E8799E" w:rsidRDefault="00644457">
      <w:pPr>
        <w:pStyle w:val="ListParagraph"/>
        <w:numPr>
          <w:ilvl w:val="2"/>
          <w:numId w:val="6"/>
        </w:numPr>
        <w:tabs>
          <w:tab w:val="left" w:pos="941"/>
        </w:tabs>
        <w:spacing w:line="360" w:lineRule="auto"/>
        <w:ind w:right="213"/>
        <w:jc w:val="both"/>
        <w:rPr>
          <w:sz w:val="24"/>
        </w:rPr>
      </w:pPr>
      <w:r>
        <w:rPr>
          <w:sz w:val="24"/>
        </w:rPr>
        <w:t xml:space="preserve">It should be the endeavor of all public authorities that all entitlements to citizens and all transactions between the citizen and government are gradually made available through </w:t>
      </w:r>
      <w:proofErr w:type="gramStart"/>
      <w:r>
        <w:rPr>
          <w:sz w:val="24"/>
        </w:rPr>
        <w:t>computer based</w:t>
      </w:r>
      <w:proofErr w:type="gramEnd"/>
      <w:r>
        <w:rPr>
          <w:sz w:val="24"/>
        </w:rPr>
        <w:t xml:space="preserve"> interface. The ‘Electronic Delivery of Services Bill, 2012’ un</w:t>
      </w:r>
      <w:r>
        <w:rPr>
          <w:sz w:val="24"/>
        </w:rPr>
        <w:t>der formulation in Government of India would provide the necessary</w:t>
      </w:r>
      <w:r>
        <w:rPr>
          <w:spacing w:val="-20"/>
          <w:sz w:val="24"/>
        </w:rPr>
        <w:t xml:space="preserve"> </w:t>
      </w:r>
      <w:r>
        <w:rPr>
          <w:sz w:val="24"/>
        </w:rPr>
        <w:t>impetus.</w:t>
      </w:r>
    </w:p>
    <w:p w:rsidR="00E8799E" w:rsidRDefault="00E8799E">
      <w:pPr>
        <w:pStyle w:val="BodyText"/>
        <w:spacing w:before="7"/>
        <w:rPr>
          <w:sz w:val="19"/>
        </w:rPr>
      </w:pPr>
    </w:p>
    <w:p w:rsidR="00E8799E" w:rsidRDefault="00644457">
      <w:pPr>
        <w:pStyle w:val="ListParagraph"/>
        <w:numPr>
          <w:ilvl w:val="2"/>
          <w:numId w:val="6"/>
        </w:numPr>
        <w:tabs>
          <w:tab w:val="left" w:pos="941"/>
        </w:tabs>
        <w:spacing w:before="1" w:line="360" w:lineRule="auto"/>
        <w:ind w:right="222"/>
        <w:jc w:val="both"/>
        <w:rPr>
          <w:sz w:val="24"/>
        </w:rPr>
      </w:pPr>
      <w:r>
        <w:rPr>
          <w:sz w:val="24"/>
        </w:rPr>
        <w:t>Websites should contain detailed information from the point of origin to the point of delivery of entitlements/services provided by the Public Authorities to</w:t>
      </w:r>
      <w:r>
        <w:rPr>
          <w:spacing w:val="-23"/>
          <w:sz w:val="24"/>
        </w:rPr>
        <w:t xml:space="preserve"> </w:t>
      </w:r>
      <w:r>
        <w:rPr>
          <w:sz w:val="24"/>
        </w:rPr>
        <w:t>citizens.</w:t>
      </w:r>
    </w:p>
    <w:p w:rsidR="00E8799E" w:rsidRDefault="00E8799E">
      <w:pPr>
        <w:pStyle w:val="BodyText"/>
        <w:spacing w:before="7"/>
        <w:rPr>
          <w:sz w:val="19"/>
        </w:rPr>
      </w:pPr>
    </w:p>
    <w:p w:rsidR="00E8799E" w:rsidRDefault="00644457">
      <w:pPr>
        <w:pStyle w:val="ListParagraph"/>
        <w:numPr>
          <w:ilvl w:val="2"/>
          <w:numId w:val="6"/>
        </w:numPr>
        <w:tabs>
          <w:tab w:val="left" w:pos="941"/>
        </w:tabs>
        <w:spacing w:line="362" w:lineRule="auto"/>
        <w:ind w:right="212"/>
        <w:jc w:val="both"/>
        <w:rPr>
          <w:sz w:val="24"/>
        </w:rPr>
      </w:pPr>
      <w:r>
        <w:rPr>
          <w:sz w:val="24"/>
        </w:rPr>
        <w:t>Orders of the public authority should be uploaded on the website immediately after they have been</w:t>
      </w:r>
      <w:r>
        <w:rPr>
          <w:spacing w:val="-2"/>
          <w:sz w:val="24"/>
        </w:rPr>
        <w:t xml:space="preserve"> </w:t>
      </w:r>
      <w:r>
        <w:rPr>
          <w:sz w:val="24"/>
        </w:rPr>
        <w:t>issued.</w:t>
      </w:r>
    </w:p>
    <w:p w:rsidR="00E8799E" w:rsidRDefault="00E8799E">
      <w:pPr>
        <w:pStyle w:val="BodyText"/>
        <w:spacing w:before="4"/>
        <w:rPr>
          <w:sz w:val="19"/>
        </w:rPr>
      </w:pPr>
    </w:p>
    <w:p w:rsidR="00E8799E" w:rsidRDefault="00644457">
      <w:pPr>
        <w:pStyle w:val="ListParagraph"/>
        <w:numPr>
          <w:ilvl w:val="2"/>
          <w:numId w:val="6"/>
        </w:numPr>
        <w:tabs>
          <w:tab w:val="left" w:pos="941"/>
        </w:tabs>
        <w:spacing w:line="360" w:lineRule="auto"/>
        <w:ind w:right="222"/>
        <w:jc w:val="both"/>
        <w:rPr>
          <w:sz w:val="24"/>
        </w:rPr>
      </w:pPr>
      <w:r>
        <w:rPr>
          <w:sz w:val="24"/>
        </w:rPr>
        <w:t>Website should contain all the relevant Acts, Rules, forms and other documents which are normally accessed by</w:t>
      </w:r>
      <w:r>
        <w:rPr>
          <w:spacing w:val="-2"/>
          <w:sz w:val="24"/>
        </w:rPr>
        <w:t xml:space="preserve"> </w:t>
      </w:r>
      <w:r>
        <w:rPr>
          <w:sz w:val="24"/>
        </w:rPr>
        <w:t>citizens.</w:t>
      </w:r>
    </w:p>
    <w:p w:rsidR="00E8799E" w:rsidRDefault="00E8799E">
      <w:pPr>
        <w:pStyle w:val="BodyText"/>
        <w:rPr>
          <w:sz w:val="20"/>
        </w:rPr>
      </w:pPr>
    </w:p>
    <w:p w:rsidR="00E8799E" w:rsidRDefault="00E8799E">
      <w:pPr>
        <w:pStyle w:val="BodyText"/>
        <w:rPr>
          <w:sz w:val="20"/>
        </w:rPr>
      </w:pPr>
    </w:p>
    <w:p w:rsidR="00E8799E" w:rsidRDefault="00E8799E">
      <w:pPr>
        <w:pStyle w:val="BodyText"/>
        <w:spacing w:before="7"/>
      </w:pPr>
    </w:p>
    <w:p w:rsidR="00E8799E" w:rsidRDefault="00644457">
      <w:pPr>
        <w:spacing w:before="56"/>
        <w:ind w:right="214"/>
        <w:jc w:val="right"/>
      </w:pPr>
      <w:r>
        <w:t>4</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ListParagraph"/>
        <w:numPr>
          <w:ilvl w:val="2"/>
          <w:numId w:val="6"/>
        </w:numPr>
        <w:tabs>
          <w:tab w:val="left" w:pos="941"/>
        </w:tabs>
        <w:spacing w:before="41" w:line="360" w:lineRule="auto"/>
        <w:ind w:right="215"/>
        <w:jc w:val="both"/>
        <w:rPr>
          <w:sz w:val="24"/>
        </w:rPr>
      </w:pPr>
      <w:r>
        <w:rPr>
          <w:noProof/>
        </w:rPr>
        <w:lastRenderedPageBreak/>
        <w:drawing>
          <wp:anchor distT="0" distB="0" distL="0" distR="0" simplePos="0" relativeHeight="268422815" behindDoc="1" locked="0" layoutInCell="1" allowOverlap="1">
            <wp:simplePos x="0" y="0"/>
            <wp:positionH relativeFrom="page">
              <wp:posOffset>0</wp:posOffset>
            </wp:positionH>
            <wp:positionV relativeFrom="page">
              <wp:posOffset>3047</wp:posOffset>
            </wp:positionV>
            <wp:extent cx="7560564" cy="10686288"/>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7" cstate="print"/>
                    <a:stretch>
                      <a:fillRect/>
                    </a:stretch>
                  </pic:blipFill>
                  <pic:spPr>
                    <a:xfrm>
                      <a:off x="0" y="0"/>
                      <a:ext cx="7560564" cy="10686288"/>
                    </a:xfrm>
                    <a:prstGeom prst="rect">
                      <a:avLst/>
                    </a:prstGeom>
                  </pic:spPr>
                </pic:pic>
              </a:graphicData>
            </a:graphic>
          </wp:anchor>
        </w:drawing>
      </w:r>
      <w:r>
        <w:rPr>
          <w:sz w:val="24"/>
        </w:rPr>
        <w:t xml:space="preserve">Websites </w:t>
      </w:r>
      <w:r>
        <w:rPr>
          <w:sz w:val="24"/>
        </w:rPr>
        <w:t>should have detailed directory of key contacts, details of officials of the Public</w:t>
      </w:r>
      <w:r>
        <w:rPr>
          <w:spacing w:val="-4"/>
          <w:sz w:val="24"/>
        </w:rPr>
        <w:t xml:space="preserve"> </w:t>
      </w:r>
      <w:r>
        <w:rPr>
          <w:sz w:val="24"/>
        </w:rPr>
        <w:t>Authority.</w:t>
      </w:r>
    </w:p>
    <w:p w:rsidR="00E8799E" w:rsidRDefault="00E8799E">
      <w:pPr>
        <w:pStyle w:val="BodyText"/>
        <w:spacing w:before="8"/>
        <w:rPr>
          <w:sz w:val="19"/>
        </w:rPr>
      </w:pPr>
    </w:p>
    <w:p w:rsidR="00E8799E" w:rsidRDefault="00644457">
      <w:pPr>
        <w:pStyle w:val="ListParagraph"/>
        <w:numPr>
          <w:ilvl w:val="2"/>
          <w:numId w:val="6"/>
        </w:numPr>
        <w:tabs>
          <w:tab w:val="left" w:pos="941"/>
        </w:tabs>
        <w:spacing w:line="360" w:lineRule="auto"/>
        <w:ind w:right="213"/>
        <w:jc w:val="both"/>
        <w:rPr>
          <w:sz w:val="24"/>
        </w:rPr>
      </w:pPr>
      <w:r>
        <w:rPr>
          <w:sz w:val="24"/>
        </w:rPr>
        <w:t>It is obligatory under Section 4(1)(b)(xiv) of the RTI Act for every Public Authority to proactively disclose ‘details in respect of the information, available t</w:t>
      </w:r>
      <w:r>
        <w:rPr>
          <w:sz w:val="24"/>
        </w:rPr>
        <w:t>o or held by it, reduced in an electronic form’. The website should therefore indicate which digitally held information is made available publicly over the internet and which is</w:t>
      </w:r>
      <w:r>
        <w:rPr>
          <w:spacing w:val="-6"/>
          <w:sz w:val="24"/>
        </w:rPr>
        <w:t xml:space="preserve"> </w:t>
      </w:r>
      <w:r>
        <w:rPr>
          <w:sz w:val="24"/>
        </w:rPr>
        <w:t>not.</w:t>
      </w:r>
    </w:p>
    <w:p w:rsidR="00E8799E" w:rsidRDefault="00E8799E">
      <w:pPr>
        <w:pStyle w:val="BodyText"/>
        <w:spacing w:before="10"/>
        <w:rPr>
          <w:sz w:val="19"/>
        </w:rPr>
      </w:pPr>
    </w:p>
    <w:p w:rsidR="00E8799E" w:rsidRDefault="00644457">
      <w:pPr>
        <w:pStyle w:val="ListParagraph"/>
        <w:numPr>
          <w:ilvl w:val="2"/>
          <w:numId w:val="6"/>
        </w:numPr>
        <w:tabs>
          <w:tab w:val="left" w:pos="941"/>
        </w:tabs>
        <w:spacing w:line="360" w:lineRule="auto"/>
        <w:ind w:right="215"/>
        <w:jc w:val="both"/>
        <w:rPr>
          <w:sz w:val="24"/>
        </w:rPr>
      </w:pPr>
      <w:r>
        <w:rPr>
          <w:sz w:val="24"/>
        </w:rPr>
        <w:t>As departments reorganize their systems and processes to enable themselves for electronic service delivery, it is recommended that the requirement of bringing due transparency as provided in the RTI Act is given adequate consideration at the design stage i</w:t>
      </w:r>
      <w:r>
        <w:rPr>
          <w:sz w:val="24"/>
        </w:rPr>
        <w:t>tself.</w:t>
      </w:r>
    </w:p>
    <w:p w:rsidR="00E8799E" w:rsidRDefault="00E8799E">
      <w:pPr>
        <w:pStyle w:val="BodyText"/>
        <w:spacing w:before="7"/>
        <w:rPr>
          <w:sz w:val="19"/>
        </w:rPr>
      </w:pPr>
    </w:p>
    <w:p w:rsidR="00E8799E" w:rsidRDefault="00644457">
      <w:pPr>
        <w:pStyle w:val="ListParagraph"/>
        <w:numPr>
          <w:ilvl w:val="2"/>
          <w:numId w:val="6"/>
        </w:numPr>
        <w:tabs>
          <w:tab w:val="left" w:pos="941"/>
        </w:tabs>
        <w:spacing w:line="360" w:lineRule="auto"/>
        <w:ind w:right="211"/>
        <w:jc w:val="both"/>
        <w:rPr>
          <w:sz w:val="24"/>
        </w:rPr>
      </w:pPr>
      <w:r>
        <w:rPr>
          <w:sz w:val="24"/>
        </w:rPr>
        <w:t xml:space="preserve">To maintain reliability of information and its real time </w:t>
      </w:r>
      <w:proofErr w:type="spellStart"/>
      <w:r>
        <w:rPr>
          <w:sz w:val="24"/>
        </w:rPr>
        <w:t>updation</w:t>
      </w:r>
      <w:proofErr w:type="spellEnd"/>
      <w:r>
        <w:rPr>
          <w:sz w:val="24"/>
        </w:rPr>
        <w:t>, information generation in a digital form should be automatically updated on the basis of key work outputs, like a muster roll and salary slip (NREGA in Andhra Pradesh) or formalizat</w:t>
      </w:r>
      <w:r>
        <w:rPr>
          <w:sz w:val="24"/>
        </w:rPr>
        <w:t>ion of a government order (Andhra Pradesh). Such an approach will lead to automation of proactive</w:t>
      </w:r>
      <w:r>
        <w:rPr>
          <w:spacing w:val="-3"/>
          <w:sz w:val="24"/>
        </w:rPr>
        <w:t xml:space="preserve"> </w:t>
      </w:r>
      <w:r>
        <w:rPr>
          <w:sz w:val="24"/>
        </w:rPr>
        <w:t>disclosure.</w:t>
      </w:r>
    </w:p>
    <w:p w:rsidR="00E8799E" w:rsidRDefault="00E8799E">
      <w:pPr>
        <w:pStyle w:val="BodyText"/>
        <w:spacing w:before="9"/>
        <w:rPr>
          <w:sz w:val="19"/>
        </w:rPr>
      </w:pPr>
    </w:p>
    <w:p w:rsidR="00E8799E" w:rsidRDefault="00644457">
      <w:pPr>
        <w:pStyle w:val="ListParagraph"/>
        <w:numPr>
          <w:ilvl w:val="2"/>
          <w:numId w:val="6"/>
        </w:numPr>
        <w:tabs>
          <w:tab w:val="left" w:pos="941"/>
        </w:tabs>
        <w:spacing w:line="360" w:lineRule="auto"/>
        <w:ind w:right="210"/>
        <w:jc w:val="both"/>
        <w:rPr>
          <w:sz w:val="24"/>
        </w:rPr>
      </w:pPr>
      <w:r>
        <w:rPr>
          <w:sz w:val="24"/>
        </w:rPr>
        <w:t>Information must be presented from a user's perspective, which may require re- arranging it, simplifying it etc. However, original documents in o</w:t>
      </w:r>
      <w:r>
        <w:rPr>
          <w:sz w:val="24"/>
        </w:rPr>
        <w:t>riginal formats should continue to be made available because these are needed for community monitoring of government's</w:t>
      </w:r>
      <w:r>
        <w:rPr>
          <w:spacing w:val="-6"/>
          <w:sz w:val="24"/>
        </w:rPr>
        <w:t xml:space="preserve"> </w:t>
      </w:r>
      <w:r>
        <w:rPr>
          <w:sz w:val="24"/>
        </w:rPr>
        <w:t>functioning.</w:t>
      </w:r>
    </w:p>
    <w:p w:rsidR="00E8799E" w:rsidRDefault="00E8799E">
      <w:pPr>
        <w:pStyle w:val="BodyText"/>
        <w:spacing w:before="8"/>
        <w:rPr>
          <w:sz w:val="19"/>
        </w:rPr>
      </w:pPr>
    </w:p>
    <w:p w:rsidR="00E8799E" w:rsidRDefault="00644457">
      <w:pPr>
        <w:pStyle w:val="ListParagraph"/>
        <w:numPr>
          <w:ilvl w:val="2"/>
          <w:numId w:val="6"/>
        </w:numPr>
        <w:tabs>
          <w:tab w:val="left" w:pos="941"/>
        </w:tabs>
        <w:spacing w:line="360" w:lineRule="auto"/>
        <w:ind w:right="214"/>
        <w:jc w:val="both"/>
        <w:rPr>
          <w:sz w:val="24"/>
        </w:rPr>
      </w:pPr>
      <w:r>
        <w:rPr>
          <w:sz w:val="24"/>
        </w:rPr>
        <w:t xml:space="preserve">The ‘National Data Sharing and Accessibility Policy’ by the Department of Science and Technology is based on the principle </w:t>
      </w:r>
      <w:r>
        <w:rPr>
          <w:sz w:val="24"/>
        </w:rPr>
        <w:t xml:space="preserve">that all publicly funded information should be readily available. The policy has been notified in </w:t>
      </w:r>
      <w:proofErr w:type="gramStart"/>
      <w:r>
        <w:rPr>
          <w:sz w:val="24"/>
        </w:rPr>
        <w:t>March,</w:t>
      </w:r>
      <w:proofErr w:type="gramEnd"/>
      <w:r>
        <w:rPr>
          <w:sz w:val="24"/>
        </w:rPr>
        <w:t xml:space="preserve"> 2012 and the schedule should be strictly adhered</w:t>
      </w:r>
      <w:r>
        <w:rPr>
          <w:spacing w:val="2"/>
          <w:sz w:val="24"/>
        </w:rPr>
        <w:t xml:space="preserve"> </w:t>
      </w:r>
      <w:r>
        <w:rPr>
          <w:sz w:val="24"/>
        </w:rPr>
        <w:t>to.</w:t>
      </w:r>
    </w:p>
    <w:p w:rsidR="00E8799E" w:rsidRDefault="00E8799E">
      <w:pPr>
        <w:pStyle w:val="BodyText"/>
        <w:spacing w:before="7"/>
        <w:rPr>
          <w:sz w:val="19"/>
        </w:rPr>
      </w:pPr>
    </w:p>
    <w:p w:rsidR="00E8799E" w:rsidRDefault="00644457">
      <w:pPr>
        <w:pStyle w:val="ListParagraph"/>
        <w:numPr>
          <w:ilvl w:val="2"/>
          <w:numId w:val="6"/>
        </w:numPr>
        <w:tabs>
          <w:tab w:val="left" w:pos="941"/>
        </w:tabs>
        <w:spacing w:line="360" w:lineRule="auto"/>
        <w:ind w:right="213"/>
        <w:jc w:val="both"/>
        <w:rPr>
          <w:sz w:val="24"/>
        </w:rPr>
      </w:pPr>
      <w:r>
        <w:rPr>
          <w:sz w:val="24"/>
        </w:rPr>
        <w:t>Information and data should be presented in open data formats whereby it can be pulled by differe</w:t>
      </w:r>
      <w:r>
        <w:rPr>
          <w:sz w:val="24"/>
        </w:rPr>
        <w:t xml:space="preserve">nt Application Protocol Interfaces to be used in different fashions more appropriate to specific contexts and needs. Information/ data </w:t>
      </w:r>
      <w:proofErr w:type="gramStart"/>
      <w:r>
        <w:rPr>
          <w:sz w:val="24"/>
        </w:rPr>
        <w:t>can,  for</w:t>
      </w:r>
      <w:proofErr w:type="gramEnd"/>
      <w:r>
        <w:rPr>
          <w:sz w:val="24"/>
        </w:rPr>
        <w:t xml:space="preserve"> instance, be presented in powerful visual ways using </w:t>
      </w:r>
      <w:proofErr w:type="spellStart"/>
      <w:r>
        <w:rPr>
          <w:sz w:val="24"/>
        </w:rPr>
        <w:t>visualisation</w:t>
      </w:r>
      <w:proofErr w:type="spellEnd"/>
      <w:r>
        <w:rPr>
          <w:sz w:val="24"/>
        </w:rPr>
        <w:t xml:space="preserve"> techniques. Such visual</w:t>
      </w:r>
      <w:r>
        <w:rPr>
          <w:spacing w:val="13"/>
          <w:sz w:val="24"/>
        </w:rPr>
        <w:t xml:space="preserve"> </w:t>
      </w:r>
      <w:r>
        <w:rPr>
          <w:sz w:val="24"/>
        </w:rPr>
        <w:t>representation</w:t>
      </w:r>
      <w:r>
        <w:rPr>
          <w:spacing w:val="12"/>
          <w:sz w:val="24"/>
        </w:rPr>
        <w:t xml:space="preserve"> </w:t>
      </w:r>
      <w:r>
        <w:rPr>
          <w:sz w:val="24"/>
        </w:rPr>
        <w:t>of</w:t>
      </w:r>
      <w:r>
        <w:rPr>
          <w:spacing w:val="10"/>
          <w:sz w:val="24"/>
        </w:rPr>
        <w:t xml:space="preserve"> </w:t>
      </w:r>
      <w:r>
        <w:rPr>
          <w:sz w:val="24"/>
        </w:rPr>
        <w:t>in</w:t>
      </w:r>
      <w:r>
        <w:rPr>
          <w:sz w:val="24"/>
        </w:rPr>
        <w:t>formation/</w:t>
      </w:r>
      <w:r>
        <w:rPr>
          <w:spacing w:val="10"/>
          <w:sz w:val="24"/>
        </w:rPr>
        <w:t xml:space="preserve"> </w:t>
      </w:r>
      <w:r>
        <w:rPr>
          <w:sz w:val="24"/>
        </w:rPr>
        <w:t>data</w:t>
      </w:r>
      <w:r>
        <w:rPr>
          <w:spacing w:val="11"/>
          <w:sz w:val="24"/>
        </w:rPr>
        <w:t xml:space="preserve"> </w:t>
      </w:r>
      <w:r>
        <w:rPr>
          <w:sz w:val="24"/>
        </w:rPr>
        <w:t>can</w:t>
      </w:r>
      <w:r>
        <w:rPr>
          <w:spacing w:val="12"/>
          <w:sz w:val="24"/>
        </w:rPr>
        <w:t xml:space="preserve"> </w:t>
      </w:r>
      <w:r>
        <w:rPr>
          <w:sz w:val="24"/>
        </w:rPr>
        <w:t>give</w:t>
      </w:r>
      <w:r>
        <w:rPr>
          <w:spacing w:val="13"/>
          <w:sz w:val="24"/>
        </w:rPr>
        <w:t xml:space="preserve"> </w:t>
      </w:r>
      <w:r>
        <w:rPr>
          <w:sz w:val="24"/>
        </w:rPr>
        <w:t>insights</w:t>
      </w:r>
      <w:r>
        <w:rPr>
          <w:spacing w:val="10"/>
          <w:sz w:val="24"/>
        </w:rPr>
        <w:t xml:space="preserve"> </w:t>
      </w:r>
      <w:r>
        <w:rPr>
          <w:sz w:val="24"/>
        </w:rPr>
        <w:t>that</w:t>
      </w:r>
      <w:r>
        <w:rPr>
          <w:spacing w:val="12"/>
          <w:sz w:val="24"/>
        </w:rPr>
        <w:t xml:space="preserve"> </w:t>
      </w:r>
      <w:r>
        <w:rPr>
          <w:sz w:val="24"/>
        </w:rPr>
        <w:t>may</w:t>
      </w:r>
      <w:r>
        <w:rPr>
          <w:spacing w:val="13"/>
          <w:sz w:val="24"/>
        </w:rPr>
        <w:t xml:space="preserve"> </w:t>
      </w:r>
      <w:r>
        <w:rPr>
          <w:sz w:val="24"/>
        </w:rPr>
        <w:t>remain</w:t>
      </w:r>
      <w:r>
        <w:rPr>
          <w:spacing w:val="12"/>
          <w:sz w:val="24"/>
        </w:rPr>
        <w:t xml:space="preserve"> </w:t>
      </w:r>
      <w:r>
        <w:rPr>
          <w:sz w:val="24"/>
        </w:rPr>
        <w:t>largely</w:t>
      </w:r>
    </w:p>
    <w:p w:rsidR="00E8799E" w:rsidRDefault="00E8799E">
      <w:pPr>
        <w:pStyle w:val="BodyText"/>
        <w:spacing w:before="9"/>
        <w:rPr>
          <w:sz w:val="28"/>
        </w:rPr>
      </w:pPr>
    </w:p>
    <w:p w:rsidR="00E8799E" w:rsidRDefault="00644457">
      <w:pPr>
        <w:spacing w:before="56"/>
        <w:ind w:right="214"/>
        <w:jc w:val="right"/>
      </w:pPr>
      <w:r>
        <w:t>5</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BodyText"/>
        <w:spacing w:before="41" w:line="360" w:lineRule="auto"/>
        <w:ind w:left="940" w:right="213"/>
        <w:jc w:val="both"/>
      </w:pPr>
      <w:r>
        <w:rPr>
          <w:noProof/>
        </w:rPr>
        <w:lastRenderedPageBreak/>
        <w:drawing>
          <wp:anchor distT="0" distB="0" distL="0" distR="0" simplePos="0" relativeHeight="268422839" behindDoc="1" locked="0" layoutInCell="1" allowOverlap="1">
            <wp:simplePos x="0" y="0"/>
            <wp:positionH relativeFrom="page">
              <wp:posOffset>0</wp:posOffset>
            </wp:positionH>
            <wp:positionV relativeFrom="page">
              <wp:posOffset>3047</wp:posOffset>
            </wp:positionV>
            <wp:extent cx="7560564" cy="10686288"/>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7" cstate="print"/>
                    <a:stretch>
                      <a:fillRect/>
                    </a:stretch>
                  </pic:blipFill>
                  <pic:spPr>
                    <a:xfrm>
                      <a:off x="0" y="0"/>
                      <a:ext cx="7560564" cy="10686288"/>
                    </a:xfrm>
                    <a:prstGeom prst="rect">
                      <a:avLst/>
                    </a:prstGeom>
                  </pic:spPr>
                </pic:pic>
              </a:graphicData>
            </a:graphic>
          </wp:anchor>
        </w:drawing>
      </w:r>
      <w:r>
        <w:t xml:space="preserve">hidden in a textual or tabular presentation of data. In some contexts, pictures and audio/videos recordings </w:t>
      </w:r>
      <w:proofErr w:type="spellStart"/>
      <w:r>
        <w:t>etc</w:t>
      </w:r>
      <w:proofErr w:type="spellEnd"/>
      <w:r>
        <w:t xml:space="preserve"> may be more useful. There have been moves in some parts of the country to video record Gram Sabha meetings. A picture of a NREGA worksite, for i</w:t>
      </w:r>
      <w:r>
        <w:t>nstance, may tell much more than words can. All such different media and forms should be used for proactive disclosure.</w:t>
      </w:r>
    </w:p>
    <w:p w:rsidR="00E8799E" w:rsidRDefault="00E8799E">
      <w:pPr>
        <w:pStyle w:val="BodyText"/>
        <w:spacing w:before="9"/>
        <w:rPr>
          <w:sz w:val="19"/>
        </w:rPr>
      </w:pPr>
    </w:p>
    <w:p w:rsidR="00E8799E" w:rsidRDefault="00644457">
      <w:pPr>
        <w:pStyle w:val="ListParagraph"/>
        <w:numPr>
          <w:ilvl w:val="2"/>
          <w:numId w:val="6"/>
        </w:numPr>
        <w:tabs>
          <w:tab w:val="left" w:pos="941"/>
        </w:tabs>
        <w:spacing w:line="360" w:lineRule="auto"/>
        <w:ind w:right="218"/>
        <w:jc w:val="both"/>
        <w:rPr>
          <w:sz w:val="24"/>
        </w:rPr>
      </w:pPr>
      <w:r>
        <w:rPr>
          <w:sz w:val="24"/>
        </w:rPr>
        <w:t xml:space="preserve">Every webpage </w:t>
      </w:r>
      <w:bookmarkStart w:id="14" w:name="OLE_LINK19"/>
      <w:bookmarkStart w:id="15" w:name="OLE_LINK20"/>
      <w:bookmarkEnd w:id="12"/>
      <w:bookmarkEnd w:id="13"/>
      <w:r>
        <w:rPr>
          <w:sz w:val="24"/>
        </w:rPr>
        <w:t>displaying information or data proactively disclosed under the RTI Act should, on the top right corner, display the mandatory field ‘Date last updated (DD/MM/YY)’.</w:t>
      </w:r>
      <w:bookmarkEnd w:id="14"/>
      <w:bookmarkEnd w:id="15"/>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7"/>
        </w:rPr>
      </w:pPr>
    </w:p>
    <w:p w:rsidR="00E8799E" w:rsidRDefault="00644457">
      <w:pPr>
        <w:spacing w:before="57"/>
        <w:ind w:right="214"/>
        <w:jc w:val="right"/>
      </w:pPr>
      <w:r>
        <w:t>6</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Heading2"/>
        <w:numPr>
          <w:ilvl w:val="1"/>
          <w:numId w:val="5"/>
        </w:numPr>
        <w:tabs>
          <w:tab w:val="left" w:pos="940"/>
          <w:tab w:val="left" w:pos="941"/>
        </w:tabs>
        <w:spacing w:before="41"/>
        <w:ind w:firstLine="0"/>
      </w:pPr>
      <w:r>
        <w:rPr>
          <w:noProof/>
        </w:rPr>
        <w:lastRenderedPageBreak/>
        <w:drawing>
          <wp:anchor distT="0" distB="0" distL="0" distR="0" simplePos="0" relativeHeight="268422863" behindDoc="1" locked="0" layoutInCell="1" allowOverlap="1">
            <wp:simplePos x="0" y="0"/>
            <wp:positionH relativeFrom="page">
              <wp:posOffset>0</wp:posOffset>
            </wp:positionH>
            <wp:positionV relativeFrom="page">
              <wp:posOffset>3047</wp:posOffset>
            </wp:positionV>
            <wp:extent cx="7560564" cy="10686288"/>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7" cstate="print"/>
                    <a:stretch>
                      <a:fillRect/>
                    </a:stretch>
                  </pic:blipFill>
                  <pic:spPr>
                    <a:xfrm>
                      <a:off x="0" y="0"/>
                      <a:ext cx="7560564" cy="10686288"/>
                    </a:xfrm>
                    <a:prstGeom prst="rect">
                      <a:avLst/>
                    </a:prstGeom>
                  </pic:spPr>
                </pic:pic>
              </a:graphicData>
            </a:graphic>
          </wp:anchor>
        </w:drawing>
      </w:r>
      <w:r>
        <w:t>Guidelines for certain clauses of Section 4(1)(b) to make disclosure more</w:t>
      </w:r>
      <w:r>
        <w:rPr>
          <w:spacing w:val="-21"/>
        </w:rPr>
        <w:t xml:space="preserve"> </w:t>
      </w:r>
      <w:r>
        <w:t>effective</w:t>
      </w:r>
    </w:p>
    <w:p w:rsidR="00E8799E" w:rsidRDefault="00E8799E">
      <w:pPr>
        <w:pStyle w:val="BodyText"/>
        <w:spacing w:before="5"/>
        <w:rPr>
          <w:b/>
          <w:sz w:val="31"/>
        </w:rPr>
      </w:pPr>
    </w:p>
    <w:p w:rsidR="00E8799E" w:rsidRDefault="00644457">
      <w:pPr>
        <w:pStyle w:val="ListParagraph"/>
        <w:numPr>
          <w:ilvl w:val="1"/>
          <w:numId w:val="5"/>
        </w:numPr>
        <w:tabs>
          <w:tab w:val="left" w:pos="941"/>
        </w:tabs>
        <w:spacing w:before="1" w:line="360" w:lineRule="auto"/>
        <w:ind w:right="214" w:firstLine="0"/>
        <w:jc w:val="both"/>
        <w:rPr>
          <w:sz w:val="24"/>
        </w:rPr>
      </w:pPr>
      <w:r>
        <w:rPr>
          <w:sz w:val="24"/>
        </w:rPr>
        <w:t>The elements of information listed in the various sub-clauses of Section 4(1)(b) must be disclosed in an integrated manner. For example, the functions and responsibilities of a public authority cannot be understood in isolation from the powers and function</w:t>
      </w:r>
      <w:r>
        <w:rPr>
          <w:sz w:val="24"/>
        </w:rPr>
        <w:t xml:space="preserve">s of its employees, the norms that inform its </w:t>
      </w:r>
      <w:proofErr w:type="gramStart"/>
      <w:r>
        <w:rPr>
          <w:sz w:val="24"/>
        </w:rPr>
        <w:t>decision making</w:t>
      </w:r>
      <w:proofErr w:type="gramEnd"/>
      <w:r>
        <w:rPr>
          <w:sz w:val="24"/>
        </w:rPr>
        <w:t xml:space="preserve"> processes and the rules, instructions and manuals that are used in the discharge of its functions. Description of one element presupposes the existence of another. </w:t>
      </w:r>
      <w:proofErr w:type="gramStart"/>
      <w:r>
        <w:rPr>
          <w:sz w:val="24"/>
        </w:rPr>
        <w:t>So</w:t>
      </w:r>
      <w:proofErr w:type="gramEnd"/>
      <w:r>
        <w:rPr>
          <w:sz w:val="24"/>
        </w:rPr>
        <w:t xml:space="preserve"> every public authority must</w:t>
      </w:r>
      <w:r>
        <w:rPr>
          <w:sz w:val="24"/>
        </w:rPr>
        <w:t xml:space="preserve"> </w:t>
      </w:r>
      <w:proofErr w:type="spellStart"/>
      <w:r>
        <w:rPr>
          <w:sz w:val="24"/>
        </w:rPr>
        <w:t>endeavour</w:t>
      </w:r>
      <w:proofErr w:type="spellEnd"/>
      <w:r>
        <w:rPr>
          <w:sz w:val="24"/>
        </w:rPr>
        <w:t xml:space="preserve"> to integrate the information mentioned in these sub-clauses while preparing voluntary disclosure</w:t>
      </w:r>
      <w:r>
        <w:rPr>
          <w:spacing w:val="-2"/>
          <w:sz w:val="24"/>
        </w:rPr>
        <w:t xml:space="preserve"> </w:t>
      </w:r>
      <w:r>
        <w:rPr>
          <w:sz w:val="24"/>
        </w:rPr>
        <w:t>materials.</w:t>
      </w:r>
    </w:p>
    <w:p w:rsidR="00E8799E" w:rsidRDefault="00E8799E">
      <w:pPr>
        <w:pStyle w:val="BodyText"/>
        <w:spacing w:before="8"/>
        <w:rPr>
          <w:sz w:val="19"/>
        </w:rPr>
      </w:pPr>
    </w:p>
    <w:p w:rsidR="00E8799E" w:rsidRDefault="00644457">
      <w:pPr>
        <w:pStyle w:val="ListParagraph"/>
        <w:numPr>
          <w:ilvl w:val="1"/>
          <w:numId w:val="5"/>
        </w:numPr>
        <w:tabs>
          <w:tab w:val="left" w:pos="941"/>
        </w:tabs>
        <w:spacing w:before="1" w:line="362" w:lineRule="auto"/>
        <w:ind w:right="214" w:firstLine="0"/>
        <w:jc w:val="both"/>
        <w:rPr>
          <w:sz w:val="24"/>
        </w:rPr>
      </w:pPr>
      <w:r>
        <w:rPr>
          <w:sz w:val="24"/>
        </w:rPr>
        <w:t>Considering that disclosure in regard to certain sub-clauses have been relatively weak, detailed guidelines for four sub-clauses are giv</w:t>
      </w:r>
      <w:r>
        <w:rPr>
          <w:sz w:val="24"/>
        </w:rPr>
        <w:t>en</w:t>
      </w:r>
      <w:r>
        <w:rPr>
          <w:spacing w:val="-1"/>
          <w:sz w:val="24"/>
        </w:rPr>
        <w:t xml:space="preserve"> </w:t>
      </w:r>
      <w:r>
        <w:rPr>
          <w:sz w:val="24"/>
        </w:rPr>
        <w:t>below:</w:t>
      </w:r>
    </w:p>
    <w:p w:rsidR="00E8799E" w:rsidRDefault="00E8799E">
      <w:pPr>
        <w:pStyle w:val="BodyText"/>
        <w:spacing w:before="4"/>
        <w:rPr>
          <w:sz w:val="19"/>
        </w:rPr>
      </w:pPr>
    </w:p>
    <w:p w:rsidR="00E8799E" w:rsidRDefault="00644457">
      <w:pPr>
        <w:pStyle w:val="Heading2"/>
        <w:numPr>
          <w:ilvl w:val="1"/>
          <w:numId w:val="5"/>
        </w:numPr>
        <w:tabs>
          <w:tab w:val="left" w:pos="621"/>
        </w:tabs>
        <w:spacing w:line="360" w:lineRule="auto"/>
        <w:ind w:right="213" w:firstLine="0"/>
        <w:jc w:val="both"/>
      </w:pPr>
      <w:bookmarkStart w:id="16" w:name="OLE_LINK25"/>
      <w:bookmarkStart w:id="17" w:name="OLE_LINK26"/>
      <w:r>
        <w:t>Guidelines for section 4(1)(b)(iii) - “the procedure followed in the decision-making processes, including channels of supervision and</w:t>
      </w:r>
      <w:r>
        <w:rPr>
          <w:spacing w:val="-8"/>
        </w:rPr>
        <w:t xml:space="preserve"> </w:t>
      </w:r>
      <w:r>
        <w:t>accountability”.</w:t>
      </w:r>
    </w:p>
    <w:bookmarkEnd w:id="16"/>
    <w:bookmarkEnd w:id="17"/>
    <w:p w:rsidR="00E8799E" w:rsidRDefault="00E8799E">
      <w:pPr>
        <w:pStyle w:val="BodyText"/>
        <w:spacing w:before="8"/>
        <w:rPr>
          <w:b/>
          <w:sz w:val="19"/>
        </w:rPr>
      </w:pPr>
    </w:p>
    <w:p w:rsidR="00E8799E" w:rsidRDefault="00644457">
      <w:pPr>
        <w:pStyle w:val="ListParagraph"/>
        <w:numPr>
          <w:ilvl w:val="2"/>
          <w:numId w:val="5"/>
        </w:numPr>
        <w:tabs>
          <w:tab w:val="left" w:pos="941"/>
        </w:tabs>
        <w:spacing w:line="360" w:lineRule="auto"/>
        <w:ind w:right="209" w:firstLine="0"/>
        <w:jc w:val="both"/>
        <w:rPr>
          <w:sz w:val="24"/>
        </w:rPr>
      </w:pPr>
      <w:r>
        <w:rPr>
          <w:sz w:val="24"/>
        </w:rPr>
        <w:t>All government departments have specific duties and responsibilities under the respective All</w:t>
      </w:r>
      <w:r>
        <w:rPr>
          <w:sz w:val="24"/>
        </w:rPr>
        <w:t>ocation of Business Rules (AOB) issued by the appropriate Government. The constitutional provisions and statutes each department is required to implement are clearly laid down in the AOB. The manner of disposal of matters assigned to each Department/Minist</w:t>
      </w:r>
      <w:r>
        <w:rPr>
          <w:sz w:val="24"/>
        </w:rPr>
        <w:t xml:space="preserve">ry is described in the Transaction of Business Rules (TOB). Additionally, every department would have a specific set of schemes and development </w:t>
      </w:r>
      <w:proofErr w:type="spellStart"/>
      <w:r>
        <w:rPr>
          <w:sz w:val="24"/>
        </w:rPr>
        <w:t>programmes</w:t>
      </w:r>
      <w:proofErr w:type="spellEnd"/>
      <w:r>
        <w:rPr>
          <w:sz w:val="24"/>
        </w:rPr>
        <w:t xml:space="preserve"> which they are required to implement directly or through their subordinate offices or other designate</w:t>
      </w:r>
      <w:r>
        <w:rPr>
          <w:sz w:val="24"/>
        </w:rPr>
        <w:t xml:space="preserve">d agencies. These documents contain the specific operations that every Public Authority is required to undertake in the course of implementing the </w:t>
      </w:r>
      <w:proofErr w:type="spellStart"/>
      <w:r>
        <w:rPr>
          <w:sz w:val="24"/>
        </w:rPr>
        <w:t>programme</w:t>
      </w:r>
      <w:proofErr w:type="spellEnd"/>
      <w:r>
        <w:rPr>
          <w:sz w:val="24"/>
        </w:rPr>
        <w:t xml:space="preserve"> or scheme. Every operation mandated under the AOB read with the TOB would be linked to a specific d</w:t>
      </w:r>
      <w:r>
        <w:rPr>
          <w:sz w:val="24"/>
        </w:rPr>
        <w:t>ecision-making chain. All government officers have to follow laid down office procedure manual or the other rules which gives details of how representations, petitions and applications from citizens must be dealt with. Templates, formats, and basic steps o</w:t>
      </w:r>
      <w:r>
        <w:rPr>
          <w:sz w:val="24"/>
        </w:rPr>
        <w:t>f decision-making are briefly explained in such manuals. These descriptions constitute the elements of decision-making processes in</w:t>
      </w:r>
      <w:r>
        <w:rPr>
          <w:spacing w:val="-2"/>
          <w:sz w:val="24"/>
        </w:rPr>
        <w:t xml:space="preserve"> </w:t>
      </w:r>
      <w:r>
        <w:rPr>
          <w:sz w:val="24"/>
        </w:rPr>
        <w:t>general.</w:t>
      </w:r>
    </w:p>
    <w:p w:rsidR="00E8799E" w:rsidRDefault="00E8799E">
      <w:pPr>
        <w:pStyle w:val="BodyText"/>
        <w:rPr>
          <w:sz w:val="20"/>
        </w:rPr>
      </w:pPr>
    </w:p>
    <w:p w:rsidR="00E8799E" w:rsidRDefault="00E8799E">
      <w:pPr>
        <w:pStyle w:val="BodyText"/>
        <w:rPr>
          <w:sz w:val="20"/>
        </w:rPr>
      </w:pPr>
    </w:p>
    <w:p w:rsidR="00E8799E" w:rsidRDefault="00E8799E">
      <w:pPr>
        <w:pStyle w:val="BodyText"/>
        <w:spacing w:before="1"/>
        <w:rPr>
          <w:sz w:val="28"/>
        </w:rPr>
      </w:pPr>
    </w:p>
    <w:p w:rsidR="00E8799E" w:rsidRDefault="00644457">
      <w:pPr>
        <w:spacing w:before="56"/>
        <w:ind w:right="214"/>
        <w:jc w:val="right"/>
      </w:pPr>
      <w:r>
        <w:t>7</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ListParagraph"/>
        <w:numPr>
          <w:ilvl w:val="2"/>
          <w:numId w:val="5"/>
        </w:numPr>
        <w:tabs>
          <w:tab w:val="left" w:pos="941"/>
        </w:tabs>
        <w:spacing w:before="39" w:line="360" w:lineRule="auto"/>
        <w:ind w:right="219" w:firstLine="0"/>
        <w:jc w:val="both"/>
        <w:rPr>
          <w:sz w:val="24"/>
        </w:rPr>
      </w:pPr>
      <w:r>
        <w:rPr>
          <w:noProof/>
        </w:rPr>
        <w:lastRenderedPageBreak/>
        <w:drawing>
          <wp:anchor distT="0" distB="0" distL="0" distR="0" simplePos="0" relativeHeight="268422887" behindDoc="1" locked="0" layoutInCell="1" allowOverlap="1">
            <wp:simplePos x="0" y="0"/>
            <wp:positionH relativeFrom="page">
              <wp:posOffset>0</wp:posOffset>
            </wp:positionH>
            <wp:positionV relativeFrom="page">
              <wp:posOffset>3047</wp:posOffset>
            </wp:positionV>
            <wp:extent cx="7560564" cy="10686288"/>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7" cstate="print"/>
                    <a:stretch>
                      <a:fillRect/>
                    </a:stretch>
                  </pic:blipFill>
                  <pic:spPr>
                    <a:xfrm>
                      <a:off x="0" y="0"/>
                      <a:ext cx="7560564" cy="10686288"/>
                    </a:xfrm>
                    <a:prstGeom prst="rect">
                      <a:avLst/>
                    </a:prstGeom>
                  </pic:spPr>
                </pic:pic>
              </a:graphicData>
            </a:graphic>
          </wp:anchor>
        </w:drawing>
      </w:r>
      <w:r>
        <w:rPr>
          <w:sz w:val="24"/>
        </w:rPr>
        <w:t xml:space="preserve">Additionally, in the routine work of governance, government functionaries are required to make decisions in a discretionary </w:t>
      </w:r>
      <w:proofErr w:type="gramStart"/>
      <w:r>
        <w:rPr>
          <w:sz w:val="24"/>
        </w:rPr>
        <w:t>manner</w:t>
      </w:r>
      <w:proofErr w:type="gramEnd"/>
      <w:r>
        <w:rPr>
          <w:sz w:val="24"/>
        </w:rPr>
        <w:t xml:space="preserve"> but broad guiding principles are laid down in some rule or the other. For example, the General Financial Rules lay down proce</w:t>
      </w:r>
      <w:r>
        <w:rPr>
          <w:sz w:val="24"/>
        </w:rPr>
        <w:t>dures for a variety of operations relating to government finances. How sanction must be accorded for incurring expenditure; how losses to government must be reported; how responsibility for losses may be fixed on any government servant; how budgets, demand</w:t>
      </w:r>
      <w:r>
        <w:rPr>
          <w:sz w:val="24"/>
        </w:rPr>
        <w:t xml:space="preserve"> for grants are prepared and submitted; how public works must be sanctioned and executed; how commodities and services may be procured by a public authority; are all explained in these manuals which are updated from time to time. The challenge is to presen</w:t>
      </w:r>
      <w:r>
        <w:rPr>
          <w:sz w:val="24"/>
        </w:rPr>
        <w:t>t a simplified version of the decision-making procedure that is of interest to a common</w:t>
      </w:r>
      <w:r>
        <w:rPr>
          <w:spacing w:val="-12"/>
          <w:sz w:val="24"/>
        </w:rPr>
        <w:t xml:space="preserve"> </w:t>
      </w:r>
      <w:r>
        <w:rPr>
          <w:sz w:val="24"/>
        </w:rPr>
        <w:t>citizen.</w:t>
      </w:r>
    </w:p>
    <w:p w:rsidR="00E8799E" w:rsidRDefault="00E8799E">
      <w:pPr>
        <w:pStyle w:val="BodyText"/>
        <w:spacing w:before="8"/>
        <w:rPr>
          <w:sz w:val="19"/>
        </w:rPr>
      </w:pPr>
    </w:p>
    <w:p w:rsidR="00E8799E" w:rsidRDefault="00644457">
      <w:pPr>
        <w:pStyle w:val="ListParagraph"/>
        <w:numPr>
          <w:ilvl w:val="2"/>
          <w:numId w:val="5"/>
        </w:numPr>
        <w:tabs>
          <w:tab w:val="left" w:pos="941"/>
        </w:tabs>
        <w:spacing w:line="362" w:lineRule="auto"/>
        <w:ind w:right="222" w:firstLine="0"/>
        <w:jc w:val="both"/>
        <w:rPr>
          <w:sz w:val="24"/>
        </w:rPr>
      </w:pPr>
      <w:r>
        <w:rPr>
          <w:sz w:val="24"/>
        </w:rPr>
        <w:t xml:space="preserve">In view of the above, </w:t>
      </w:r>
      <w:bookmarkStart w:id="18" w:name="OLE_LINK21"/>
      <w:bookmarkStart w:id="19" w:name="OLE_LINK22"/>
      <w:r>
        <w:rPr>
          <w:sz w:val="24"/>
        </w:rPr>
        <w:t xml:space="preserve">the guidelines for detailing the </w:t>
      </w:r>
      <w:proofErr w:type="gramStart"/>
      <w:r>
        <w:rPr>
          <w:sz w:val="24"/>
        </w:rPr>
        <w:t>decision making</w:t>
      </w:r>
      <w:proofErr w:type="gramEnd"/>
      <w:r>
        <w:rPr>
          <w:sz w:val="24"/>
        </w:rPr>
        <w:t xml:space="preserve"> processes are as</w:t>
      </w:r>
      <w:r>
        <w:rPr>
          <w:spacing w:val="-1"/>
          <w:sz w:val="24"/>
        </w:rPr>
        <w:t xml:space="preserve"> </w:t>
      </w:r>
      <w:r>
        <w:rPr>
          <w:sz w:val="24"/>
        </w:rPr>
        <w:t>follows:</w:t>
      </w:r>
    </w:p>
    <w:p w:rsidR="00E8799E" w:rsidRDefault="00E8799E">
      <w:pPr>
        <w:pStyle w:val="BodyText"/>
        <w:spacing w:before="4"/>
        <w:rPr>
          <w:sz w:val="19"/>
        </w:rPr>
      </w:pPr>
    </w:p>
    <w:p w:rsidR="00E8799E" w:rsidRDefault="00644457">
      <w:pPr>
        <w:pStyle w:val="ListParagraph"/>
        <w:numPr>
          <w:ilvl w:val="3"/>
          <w:numId w:val="5"/>
        </w:numPr>
        <w:tabs>
          <w:tab w:val="left" w:pos="941"/>
        </w:tabs>
        <w:spacing w:line="360" w:lineRule="auto"/>
        <w:ind w:right="219"/>
        <w:jc w:val="both"/>
        <w:rPr>
          <w:sz w:val="24"/>
        </w:rPr>
      </w:pPr>
      <w:r>
        <w:rPr>
          <w:sz w:val="24"/>
        </w:rPr>
        <w:t>Every public authority should specifically identify the major outputs/ tangible results/ services/ goods, as applicable, that it is responsible for providing to the public or to whosoever is the client of the public</w:t>
      </w:r>
      <w:r>
        <w:rPr>
          <w:spacing w:val="-16"/>
          <w:sz w:val="24"/>
        </w:rPr>
        <w:t xml:space="preserve"> </w:t>
      </w:r>
      <w:r>
        <w:rPr>
          <w:sz w:val="24"/>
        </w:rPr>
        <w:t>authority.</w:t>
      </w:r>
    </w:p>
    <w:p w:rsidR="00E8799E" w:rsidRDefault="00E8799E">
      <w:pPr>
        <w:pStyle w:val="BodyText"/>
        <w:spacing w:before="10"/>
        <w:rPr>
          <w:sz w:val="19"/>
        </w:rPr>
      </w:pPr>
    </w:p>
    <w:p w:rsidR="00E8799E" w:rsidRDefault="00644457">
      <w:pPr>
        <w:pStyle w:val="ListParagraph"/>
        <w:numPr>
          <w:ilvl w:val="3"/>
          <w:numId w:val="5"/>
        </w:numPr>
        <w:tabs>
          <w:tab w:val="left" w:pos="941"/>
        </w:tabs>
        <w:spacing w:before="1" w:line="360" w:lineRule="auto"/>
        <w:ind w:right="215"/>
        <w:jc w:val="both"/>
        <w:rPr>
          <w:sz w:val="24"/>
        </w:rPr>
      </w:pPr>
      <w:r>
        <w:rPr>
          <w:sz w:val="24"/>
        </w:rPr>
        <w:t>In respect of (a) above, the</w:t>
      </w:r>
      <w:r>
        <w:rPr>
          <w:sz w:val="24"/>
        </w:rPr>
        <w:t xml:space="preserve"> decision-making chain should be identified in the form of a flow chart explaining the rank/grade of the public functionaries involved in the decision-making process and the specific stages in the decision-making</w:t>
      </w:r>
      <w:r>
        <w:rPr>
          <w:spacing w:val="-11"/>
          <w:sz w:val="24"/>
        </w:rPr>
        <w:t xml:space="preserve"> </w:t>
      </w:r>
      <w:r>
        <w:rPr>
          <w:sz w:val="24"/>
        </w:rPr>
        <w:t>hierarchy.</w:t>
      </w:r>
    </w:p>
    <w:p w:rsidR="00E8799E" w:rsidRDefault="00E8799E">
      <w:pPr>
        <w:pStyle w:val="BodyText"/>
        <w:spacing w:before="7"/>
        <w:rPr>
          <w:sz w:val="19"/>
        </w:rPr>
      </w:pPr>
    </w:p>
    <w:p w:rsidR="00E8799E" w:rsidRDefault="00644457">
      <w:pPr>
        <w:pStyle w:val="ListParagraph"/>
        <w:numPr>
          <w:ilvl w:val="3"/>
          <w:numId w:val="5"/>
        </w:numPr>
        <w:tabs>
          <w:tab w:val="left" w:pos="941"/>
        </w:tabs>
        <w:spacing w:line="360" w:lineRule="auto"/>
        <w:ind w:right="211"/>
        <w:jc w:val="both"/>
        <w:rPr>
          <w:sz w:val="24"/>
        </w:rPr>
      </w:pPr>
      <w:r>
        <w:rPr>
          <w:sz w:val="24"/>
        </w:rPr>
        <w:t>The powers of each officer incl</w:t>
      </w:r>
      <w:r>
        <w:rPr>
          <w:sz w:val="24"/>
        </w:rPr>
        <w:t>uding powers of supervision over subordinates involved in the chain of decision-making must also be spelt out next to the flow chart or in a simple bullet-pointed format in a text-box. The exceptional circumstances when such standard decision-making proces</w:t>
      </w:r>
      <w:r>
        <w:rPr>
          <w:sz w:val="24"/>
        </w:rPr>
        <w:t>ses may be overridden and by whom, should also be explained clearly. Where decentralization of decision-making has occurred in order to grant greater autonomy to public authorities, such procedures must also be clearly</w:t>
      </w:r>
      <w:r>
        <w:rPr>
          <w:spacing w:val="-1"/>
          <w:sz w:val="24"/>
        </w:rPr>
        <w:t xml:space="preserve"> </w:t>
      </w:r>
      <w:r>
        <w:rPr>
          <w:sz w:val="24"/>
        </w:rPr>
        <w:t>explained.</w:t>
      </w:r>
    </w:p>
    <w:p w:rsidR="00E8799E" w:rsidRDefault="00E8799E">
      <w:pPr>
        <w:pStyle w:val="BodyText"/>
        <w:spacing w:before="9"/>
        <w:rPr>
          <w:sz w:val="19"/>
        </w:rPr>
      </w:pPr>
    </w:p>
    <w:p w:rsidR="00E8799E" w:rsidRDefault="00644457">
      <w:pPr>
        <w:pStyle w:val="ListParagraph"/>
        <w:numPr>
          <w:ilvl w:val="3"/>
          <w:numId w:val="5"/>
        </w:numPr>
        <w:tabs>
          <w:tab w:val="left" w:pos="941"/>
        </w:tabs>
        <w:spacing w:line="360" w:lineRule="auto"/>
        <w:ind w:right="214"/>
        <w:jc w:val="both"/>
        <w:rPr>
          <w:sz w:val="24"/>
        </w:rPr>
      </w:pPr>
      <w:r>
        <w:rPr>
          <w:sz w:val="24"/>
        </w:rPr>
        <w:t>This design of presentati</w:t>
      </w:r>
      <w:r>
        <w:rPr>
          <w:sz w:val="24"/>
        </w:rPr>
        <w:t>on should then be extended to cover all statutory and discretionary operations that are part of the public authority’s mandate under the AOB read with the</w:t>
      </w:r>
      <w:r>
        <w:rPr>
          <w:spacing w:val="-4"/>
          <w:sz w:val="24"/>
        </w:rPr>
        <w:t xml:space="preserve"> </w:t>
      </w:r>
      <w:r>
        <w:rPr>
          <w:sz w:val="24"/>
        </w:rPr>
        <w:t>TOB.</w:t>
      </w:r>
    </w:p>
    <w:bookmarkEnd w:id="18"/>
    <w:bookmarkEnd w:id="19"/>
    <w:p w:rsidR="00E8799E" w:rsidRDefault="00E8799E">
      <w:pPr>
        <w:pStyle w:val="BodyText"/>
        <w:rPr>
          <w:sz w:val="20"/>
        </w:rPr>
      </w:pPr>
    </w:p>
    <w:p w:rsidR="00E8799E" w:rsidRDefault="00E8799E">
      <w:pPr>
        <w:pStyle w:val="BodyText"/>
        <w:spacing w:before="3"/>
        <w:rPr>
          <w:sz w:val="28"/>
        </w:rPr>
      </w:pPr>
    </w:p>
    <w:p w:rsidR="00E8799E" w:rsidRDefault="00644457">
      <w:pPr>
        <w:spacing w:before="56"/>
        <w:ind w:right="214"/>
        <w:jc w:val="right"/>
      </w:pPr>
      <w:r>
        <w:t>8</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ListParagraph"/>
        <w:numPr>
          <w:ilvl w:val="3"/>
          <w:numId w:val="5"/>
        </w:numPr>
        <w:tabs>
          <w:tab w:val="left" w:pos="941"/>
        </w:tabs>
        <w:spacing w:before="41" w:line="360" w:lineRule="auto"/>
        <w:ind w:right="212"/>
        <w:jc w:val="both"/>
        <w:rPr>
          <w:sz w:val="24"/>
        </w:rPr>
      </w:pPr>
      <w:r>
        <w:rPr>
          <w:noProof/>
        </w:rPr>
        <w:lastRenderedPageBreak/>
        <w:drawing>
          <wp:anchor distT="0" distB="0" distL="0" distR="0" simplePos="0" relativeHeight="268422911" behindDoc="1" locked="0" layoutInCell="1" allowOverlap="1">
            <wp:simplePos x="0" y="0"/>
            <wp:positionH relativeFrom="page">
              <wp:posOffset>0</wp:posOffset>
            </wp:positionH>
            <wp:positionV relativeFrom="page">
              <wp:posOffset>3047</wp:posOffset>
            </wp:positionV>
            <wp:extent cx="7560564" cy="10686288"/>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7" cstate="print"/>
                    <a:stretch>
                      <a:fillRect/>
                    </a:stretch>
                  </pic:blipFill>
                  <pic:spPr>
                    <a:xfrm>
                      <a:off x="0" y="0"/>
                      <a:ext cx="7560564" cy="10686288"/>
                    </a:xfrm>
                    <a:prstGeom prst="rect">
                      <a:avLst/>
                    </a:prstGeom>
                  </pic:spPr>
                </pic:pic>
              </a:graphicData>
            </a:graphic>
          </wp:anchor>
        </w:drawing>
      </w:r>
      <w:r>
        <w:rPr>
          <w:sz w:val="24"/>
        </w:rPr>
        <w:t>I</w:t>
      </w:r>
      <w:bookmarkStart w:id="20" w:name="OLE_LINK23"/>
      <w:bookmarkStart w:id="21" w:name="OLE_LINK24"/>
      <w:r>
        <w:rPr>
          <w:sz w:val="24"/>
        </w:rPr>
        <w:t>n the event of a public authority altering an existing decision-making process or adopting an entirely new process, such changes must be explained in simple language in order to enable people to easily understand the changes</w:t>
      </w:r>
      <w:r>
        <w:rPr>
          <w:spacing w:val="-20"/>
          <w:sz w:val="24"/>
        </w:rPr>
        <w:t xml:space="preserve"> </w:t>
      </w:r>
      <w:r>
        <w:rPr>
          <w:sz w:val="24"/>
        </w:rPr>
        <w:t>made.</w:t>
      </w:r>
    </w:p>
    <w:p w:rsidR="00E8799E" w:rsidRDefault="00644457">
      <w:pPr>
        <w:pStyle w:val="Heading2"/>
        <w:numPr>
          <w:ilvl w:val="1"/>
          <w:numId w:val="5"/>
        </w:numPr>
        <w:tabs>
          <w:tab w:val="left" w:pos="941"/>
        </w:tabs>
        <w:spacing w:before="199" w:line="362" w:lineRule="auto"/>
        <w:ind w:right="219" w:firstLine="0"/>
        <w:jc w:val="both"/>
      </w:pPr>
      <w:bookmarkStart w:id="22" w:name="OLE_LINK27"/>
      <w:bookmarkStart w:id="23" w:name="OLE_LINK28"/>
      <w:bookmarkEnd w:id="20"/>
      <w:bookmarkEnd w:id="21"/>
      <w:r>
        <w:t>Guidelines for Section 4</w:t>
      </w:r>
      <w:r>
        <w:t>(1)(b)(iv) - “the norms set by it for the discharge of its functions”.</w:t>
      </w:r>
    </w:p>
    <w:bookmarkEnd w:id="22"/>
    <w:bookmarkEnd w:id="23"/>
    <w:p w:rsidR="00E8799E" w:rsidRDefault="00E8799E">
      <w:pPr>
        <w:pStyle w:val="BodyText"/>
        <w:spacing w:before="4"/>
        <w:rPr>
          <w:b/>
          <w:sz w:val="19"/>
        </w:rPr>
      </w:pPr>
    </w:p>
    <w:p w:rsidR="00E8799E" w:rsidRDefault="00644457">
      <w:pPr>
        <w:pStyle w:val="ListParagraph"/>
        <w:numPr>
          <w:ilvl w:val="2"/>
          <w:numId w:val="5"/>
        </w:numPr>
        <w:tabs>
          <w:tab w:val="left" w:pos="941"/>
        </w:tabs>
        <w:spacing w:line="360" w:lineRule="auto"/>
        <w:ind w:right="213" w:firstLine="0"/>
        <w:jc w:val="both"/>
        <w:rPr>
          <w:sz w:val="24"/>
        </w:rPr>
      </w:pPr>
      <w:r>
        <w:rPr>
          <w:sz w:val="24"/>
        </w:rPr>
        <w:t xml:space="preserve">Primarily, the intention of this clause is that every public authority should proactively disclose the standards by which its performance should be judged. Norms may be qualitative or </w:t>
      </w:r>
      <w:r>
        <w:rPr>
          <w:sz w:val="24"/>
        </w:rPr>
        <w:t>quantitative in nature, or temporal or statutory norms. In order to ensure compliance with this clause, public authorities would need to disclose norms for major functions that are being</w:t>
      </w:r>
      <w:r>
        <w:rPr>
          <w:spacing w:val="-7"/>
          <w:sz w:val="24"/>
        </w:rPr>
        <w:t xml:space="preserve"> </w:t>
      </w:r>
      <w:r>
        <w:rPr>
          <w:sz w:val="24"/>
        </w:rPr>
        <w:t>performed.</w:t>
      </w:r>
    </w:p>
    <w:p w:rsidR="00E8799E" w:rsidRDefault="00E8799E">
      <w:pPr>
        <w:pStyle w:val="BodyText"/>
        <w:spacing w:before="7"/>
        <w:rPr>
          <w:sz w:val="19"/>
        </w:rPr>
      </w:pPr>
    </w:p>
    <w:p w:rsidR="00E8799E" w:rsidRDefault="00644457">
      <w:pPr>
        <w:pStyle w:val="ListParagraph"/>
        <w:numPr>
          <w:ilvl w:val="2"/>
          <w:numId w:val="5"/>
        </w:numPr>
        <w:tabs>
          <w:tab w:val="left" w:pos="941"/>
        </w:tabs>
        <w:spacing w:line="360" w:lineRule="auto"/>
        <w:ind w:right="219" w:firstLine="0"/>
        <w:jc w:val="both"/>
        <w:rPr>
          <w:sz w:val="24"/>
        </w:rPr>
      </w:pPr>
      <w:r>
        <w:rPr>
          <w:sz w:val="24"/>
        </w:rPr>
        <w:t>Citizen Charters, which are mandatory, for each central M</w:t>
      </w:r>
      <w:r>
        <w:rPr>
          <w:sz w:val="24"/>
        </w:rPr>
        <w:t>inistry/Department/Authority, are good examples of vehicles created for laying down norms of performance for major functions and for monitoring achievements against those standards.</w:t>
      </w:r>
    </w:p>
    <w:p w:rsidR="00E8799E" w:rsidRDefault="00E8799E">
      <w:pPr>
        <w:pStyle w:val="BodyText"/>
        <w:spacing w:before="7"/>
        <w:rPr>
          <w:sz w:val="19"/>
        </w:rPr>
      </w:pPr>
    </w:p>
    <w:p w:rsidR="00E8799E" w:rsidRDefault="00644457">
      <w:pPr>
        <w:pStyle w:val="ListParagraph"/>
        <w:numPr>
          <w:ilvl w:val="2"/>
          <w:numId w:val="5"/>
        </w:numPr>
        <w:tabs>
          <w:tab w:val="left" w:pos="941"/>
        </w:tabs>
        <w:spacing w:before="1" w:line="360" w:lineRule="auto"/>
        <w:ind w:right="214" w:firstLine="0"/>
        <w:jc w:val="both"/>
        <w:rPr>
          <w:sz w:val="24"/>
        </w:rPr>
      </w:pPr>
      <w:r>
        <w:rPr>
          <w:sz w:val="24"/>
        </w:rPr>
        <w:t xml:space="preserve">Wherever norms have been specified for the discharge of its functions by </w:t>
      </w:r>
      <w:r>
        <w:rPr>
          <w:sz w:val="24"/>
        </w:rPr>
        <w:t xml:space="preserve">any statute or government orders, they should be proactively disclosed, particularly linking them with the </w:t>
      </w:r>
      <w:proofErr w:type="gramStart"/>
      <w:r>
        <w:rPr>
          <w:sz w:val="24"/>
        </w:rPr>
        <w:t>decision making</w:t>
      </w:r>
      <w:proofErr w:type="gramEnd"/>
      <w:r>
        <w:rPr>
          <w:sz w:val="24"/>
        </w:rPr>
        <w:t xml:space="preserve"> processes as detailed earlier. All Public Authorities should proactively disclose the</w:t>
      </w:r>
      <w:r>
        <w:rPr>
          <w:spacing w:val="-2"/>
          <w:sz w:val="24"/>
        </w:rPr>
        <w:t xml:space="preserve"> </w:t>
      </w:r>
      <w:r>
        <w:rPr>
          <w:sz w:val="24"/>
        </w:rPr>
        <w:t>following:</w:t>
      </w:r>
    </w:p>
    <w:p w:rsidR="00E8799E" w:rsidRDefault="00E8799E">
      <w:pPr>
        <w:pStyle w:val="BodyText"/>
        <w:spacing w:before="9"/>
        <w:rPr>
          <w:sz w:val="19"/>
        </w:rPr>
      </w:pPr>
    </w:p>
    <w:p w:rsidR="00E8799E" w:rsidRDefault="00644457">
      <w:pPr>
        <w:pStyle w:val="ListParagraph"/>
        <w:numPr>
          <w:ilvl w:val="0"/>
          <w:numId w:val="4"/>
        </w:numPr>
        <w:tabs>
          <w:tab w:val="left" w:pos="1301"/>
        </w:tabs>
        <w:spacing w:line="360" w:lineRule="auto"/>
        <w:ind w:right="211"/>
        <w:jc w:val="both"/>
        <w:rPr>
          <w:sz w:val="24"/>
        </w:rPr>
      </w:pPr>
      <w:bookmarkStart w:id="24" w:name="OLE_LINK29"/>
      <w:bookmarkStart w:id="25" w:name="OLE_LINK30"/>
      <w:r>
        <w:rPr>
          <w:sz w:val="24"/>
        </w:rPr>
        <w:t>Defining the services and goods that the particular public authority/office provides directly (or indirectly through any other</w:t>
      </w:r>
      <w:r>
        <w:rPr>
          <w:spacing w:val="-8"/>
          <w:sz w:val="24"/>
        </w:rPr>
        <w:t xml:space="preserve"> </w:t>
      </w:r>
      <w:r>
        <w:rPr>
          <w:sz w:val="24"/>
        </w:rPr>
        <w:t>agency/contractor).</w:t>
      </w:r>
    </w:p>
    <w:p w:rsidR="00E8799E" w:rsidRDefault="00E8799E">
      <w:pPr>
        <w:pStyle w:val="BodyText"/>
        <w:spacing w:before="8"/>
        <w:rPr>
          <w:sz w:val="19"/>
        </w:rPr>
      </w:pPr>
    </w:p>
    <w:p w:rsidR="00E8799E" w:rsidRDefault="00644457">
      <w:pPr>
        <w:pStyle w:val="ListParagraph"/>
        <w:numPr>
          <w:ilvl w:val="0"/>
          <w:numId w:val="4"/>
        </w:numPr>
        <w:tabs>
          <w:tab w:val="left" w:pos="1301"/>
        </w:tabs>
        <w:spacing w:line="360" w:lineRule="auto"/>
        <w:ind w:right="219"/>
        <w:jc w:val="both"/>
        <w:rPr>
          <w:sz w:val="24"/>
        </w:rPr>
      </w:pPr>
      <w:r>
        <w:rPr>
          <w:sz w:val="24"/>
        </w:rPr>
        <w:t xml:space="preserve">Detailing and describing the processes by which the public can access and/or receive the goods and services </w:t>
      </w:r>
      <w:r>
        <w:rPr>
          <w:sz w:val="24"/>
        </w:rPr>
        <w:t>that they are entitled to, from the public authority/office along with the forms, if any prescribed, for use by both the applicant and the service providing agency. Links to such forms (online), wherever available, should be given.</w:t>
      </w:r>
    </w:p>
    <w:p w:rsidR="00E8799E" w:rsidRDefault="00E8799E">
      <w:pPr>
        <w:pStyle w:val="BodyText"/>
        <w:spacing w:before="10"/>
        <w:rPr>
          <w:sz w:val="19"/>
        </w:rPr>
      </w:pPr>
    </w:p>
    <w:p w:rsidR="00E8799E" w:rsidRDefault="00644457">
      <w:pPr>
        <w:pStyle w:val="ListParagraph"/>
        <w:numPr>
          <w:ilvl w:val="0"/>
          <w:numId w:val="4"/>
        </w:numPr>
        <w:tabs>
          <w:tab w:val="left" w:pos="1301"/>
        </w:tabs>
        <w:spacing w:line="360" w:lineRule="auto"/>
        <w:ind w:right="219"/>
        <w:jc w:val="both"/>
        <w:rPr>
          <w:sz w:val="24"/>
        </w:rPr>
      </w:pPr>
      <w:r>
        <w:rPr>
          <w:sz w:val="24"/>
        </w:rPr>
        <w:t>Describing the conditio</w:t>
      </w:r>
      <w:r>
        <w:rPr>
          <w:sz w:val="24"/>
        </w:rPr>
        <w:t>ns, criteria and priorities under which a person becomes eligible for the goods and services, and consequently the categories of people who are entitled to receive the goods and</w:t>
      </w:r>
      <w:r>
        <w:rPr>
          <w:spacing w:val="-6"/>
          <w:sz w:val="24"/>
        </w:rPr>
        <w:t xml:space="preserve"> </w:t>
      </w:r>
      <w:r>
        <w:rPr>
          <w:sz w:val="24"/>
        </w:rPr>
        <w:t>services.</w:t>
      </w:r>
    </w:p>
    <w:bookmarkEnd w:id="24"/>
    <w:bookmarkEnd w:id="25"/>
    <w:p w:rsidR="00E8799E" w:rsidRDefault="00E8799E">
      <w:pPr>
        <w:pStyle w:val="BodyText"/>
        <w:spacing w:before="2"/>
        <w:rPr>
          <w:sz w:val="12"/>
        </w:rPr>
      </w:pPr>
    </w:p>
    <w:p w:rsidR="00E8799E" w:rsidRDefault="00644457">
      <w:pPr>
        <w:spacing w:before="57"/>
        <w:ind w:right="214"/>
        <w:jc w:val="right"/>
      </w:pPr>
      <w:r>
        <w:t>9</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ListParagraph"/>
        <w:numPr>
          <w:ilvl w:val="0"/>
          <w:numId w:val="4"/>
        </w:numPr>
        <w:tabs>
          <w:tab w:val="left" w:pos="1301"/>
        </w:tabs>
        <w:spacing w:before="41" w:line="360" w:lineRule="auto"/>
        <w:ind w:right="217"/>
        <w:jc w:val="both"/>
        <w:rPr>
          <w:sz w:val="24"/>
        </w:rPr>
      </w:pPr>
      <w:r>
        <w:rPr>
          <w:noProof/>
        </w:rPr>
        <w:lastRenderedPageBreak/>
        <w:drawing>
          <wp:anchor distT="0" distB="0" distL="0" distR="0" simplePos="0" relativeHeight="268422935" behindDoc="1" locked="0" layoutInCell="1" allowOverlap="1">
            <wp:simplePos x="0" y="0"/>
            <wp:positionH relativeFrom="page">
              <wp:posOffset>0</wp:posOffset>
            </wp:positionH>
            <wp:positionV relativeFrom="page">
              <wp:posOffset>3047</wp:posOffset>
            </wp:positionV>
            <wp:extent cx="7560564" cy="10686288"/>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7" cstate="print"/>
                    <a:stretch>
                      <a:fillRect/>
                    </a:stretch>
                  </pic:blipFill>
                  <pic:spPr>
                    <a:xfrm>
                      <a:off x="0" y="0"/>
                      <a:ext cx="7560564" cy="10686288"/>
                    </a:xfrm>
                    <a:prstGeom prst="rect">
                      <a:avLst/>
                    </a:prstGeom>
                  </pic:spPr>
                </pic:pic>
              </a:graphicData>
            </a:graphic>
          </wp:anchor>
        </w:drawing>
      </w:r>
      <w:r>
        <w:rPr>
          <w:sz w:val="24"/>
        </w:rPr>
        <w:t>D</w:t>
      </w:r>
      <w:bookmarkStart w:id="26" w:name="OLE_LINK31"/>
      <w:bookmarkStart w:id="27" w:name="OLE_LINK32"/>
      <w:r>
        <w:rPr>
          <w:sz w:val="24"/>
        </w:rPr>
        <w:t xml:space="preserve">efining the quantitative and tangible parameters, (weight, size, frequency </w:t>
      </w:r>
      <w:proofErr w:type="spellStart"/>
      <w:r>
        <w:rPr>
          <w:sz w:val="24"/>
        </w:rPr>
        <w:t>etc</w:t>
      </w:r>
      <w:proofErr w:type="spellEnd"/>
      <w:r>
        <w:rPr>
          <w:sz w:val="24"/>
        </w:rPr>
        <w:t>,) and timelines, that are applicable to the goods and services that are accessible to the</w:t>
      </w:r>
      <w:r>
        <w:rPr>
          <w:spacing w:val="-3"/>
          <w:sz w:val="24"/>
        </w:rPr>
        <w:t xml:space="preserve"> </w:t>
      </w:r>
      <w:r>
        <w:rPr>
          <w:sz w:val="24"/>
        </w:rPr>
        <w:t>public.</w:t>
      </w:r>
    </w:p>
    <w:p w:rsidR="00E8799E" w:rsidRDefault="00E8799E">
      <w:pPr>
        <w:pStyle w:val="BodyText"/>
        <w:spacing w:before="7"/>
        <w:rPr>
          <w:sz w:val="19"/>
        </w:rPr>
      </w:pPr>
    </w:p>
    <w:p w:rsidR="00E8799E" w:rsidRDefault="00644457">
      <w:pPr>
        <w:pStyle w:val="ListParagraph"/>
        <w:numPr>
          <w:ilvl w:val="0"/>
          <w:numId w:val="4"/>
        </w:numPr>
        <w:tabs>
          <w:tab w:val="left" w:pos="1301"/>
        </w:tabs>
        <w:spacing w:line="360" w:lineRule="auto"/>
        <w:ind w:right="220"/>
        <w:jc w:val="both"/>
        <w:rPr>
          <w:sz w:val="24"/>
        </w:rPr>
      </w:pPr>
      <w:r>
        <w:rPr>
          <w:sz w:val="24"/>
        </w:rPr>
        <w:t>Defining the qualitative and quantitative outcomes that each public authority</w:t>
      </w:r>
      <w:r>
        <w:rPr>
          <w:sz w:val="24"/>
        </w:rPr>
        <w:t>/office plans to achieve through the goods and services that it was obligated to</w:t>
      </w:r>
      <w:r>
        <w:rPr>
          <w:spacing w:val="-3"/>
          <w:sz w:val="24"/>
        </w:rPr>
        <w:t xml:space="preserve"> </w:t>
      </w:r>
      <w:r>
        <w:rPr>
          <w:sz w:val="24"/>
        </w:rPr>
        <w:t>provide.</w:t>
      </w:r>
    </w:p>
    <w:p w:rsidR="00E8799E" w:rsidRDefault="00E8799E">
      <w:pPr>
        <w:pStyle w:val="BodyText"/>
        <w:spacing w:before="11"/>
        <w:rPr>
          <w:sz w:val="19"/>
        </w:rPr>
      </w:pPr>
    </w:p>
    <w:p w:rsidR="00E8799E" w:rsidRDefault="00644457">
      <w:pPr>
        <w:pStyle w:val="ListParagraph"/>
        <w:numPr>
          <w:ilvl w:val="0"/>
          <w:numId w:val="4"/>
        </w:numPr>
        <w:tabs>
          <w:tab w:val="left" w:pos="1301"/>
        </w:tabs>
        <w:spacing w:line="360" w:lineRule="auto"/>
        <w:ind w:right="216"/>
        <w:jc w:val="both"/>
        <w:rPr>
          <w:sz w:val="24"/>
        </w:rPr>
      </w:pPr>
      <w:r>
        <w:rPr>
          <w:sz w:val="24"/>
        </w:rPr>
        <w:t>Laying down individual responsibility for providing the goods and services (who is responsible for delivery/implementation and who is responsible for</w:t>
      </w:r>
      <w:r>
        <w:rPr>
          <w:spacing w:val="-30"/>
          <w:sz w:val="24"/>
        </w:rPr>
        <w:t xml:space="preserve"> </w:t>
      </w:r>
      <w:r>
        <w:rPr>
          <w:sz w:val="24"/>
        </w:rPr>
        <w:t>supervision).</w:t>
      </w:r>
    </w:p>
    <w:p w:rsidR="00E8799E" w:rsidRDefault="00644457">
      <w:pPr>
        <w:pStyle w:val="Heading2"/>
        <w:numPr>
          <w:ilvl w:val="1"/>
          <w:numId w:val="5"/>
        </w:numPr>
        <w:tabs>
          <w:tab w:val="left" w:pos="941"/>
        </w:tabs>
        <w:spacing w:before="198" w:line="360" w:lineRule="auto"/>
        <w:ind w:right="216" w:firstLine="0"/>
        <w:jc w:val="both"/>
      </w:pPr>
      <w:bookmarkStart w:id="28" w:name="OLE_LINK33"/>
      <w:bookmarkStart w:id="29" w:name="OLE_LINK34"/>
      <w:bookmarkEnd w:id="26"/>
      <w:bookmarkEnd w:id="27"/>
      <w:r>
        <w:t>Guidelines for Section 4(1)(b)(xi)- “the budget allocated to each of its agency, indicating the particulars of all plans, proposed expenditures and reports on disbursements made”.</w:t>
      </w:r>
    </w:p>
    <w:bookmarkEnd w:id="28"/>
    <w:bookmarkEnd w:id="29"/>
    <w:p w:rsidR="00E8799E" w:rsidRDefault="00E8799E">
      <w:pPr>
        <w:pStyle w:val="BodyText"/>
        <w:spacing w:before="8"/>
        <w:rPr>
          <w:b/>
          <w:sz w:val="19"/>
        </w:rPr>
      </w:pPr>
    </w:p>
    <w:p w:rsidR="00E8799E" w:rsidRDefault="00644457">
      <w:pPr>
        <w:pStyle w:val="ListParagraph"/>
        <w:numPr>
          <w:ilvl w:val="2"/>
          <w:numId w:val="5"/>
        </w:numPr>
        <w:tabs>
          <w:tab w:val="left" w:pos="940"/>
          <w:tab w:val="left" w:pos="941"/>
        </w:tabs>
        <w:ind w:left="940"/>
        <w:rPr>
          <w:sz w:val="24"/>
        </w:rPr>
      </w:pPr>
      <w:bookmarkStart w:id="30" w:name="OLE_LINK35"/>
      <w:bookmarkStart w:id="31" w:name="OLE_LINK36"/>
      <w:r>
        <w:rPr>
          <w:sz w:val="24"/>
        </w:rPr>
        <w:t>The public authorities while disclosing their budgets shall undertake the</w:t>
      </w:r>
      <w:r>
        <w:rPr>
          <w:spacing w:val="-19"/>
          <w:sz w:val="24"/>
        </w:rPr>
        <w:t xml:space="preserve"> </w:t>
      </w:r>
      <w:r>
        <w:rPr>
          <w:sz w:val="24"/>
        </w:rPr>
        <w:t>f</w:t>
      </w:r>
      <w:r>
        <w:rPr>
          <w:sz w:val="24"/>
        </w:rPr>
        <w:t>ollowing:</w:t>
      </w:r>
    </w:p>
    <w:p w:rsidR="00E8799E" w:rsidRDefault="00E8799E">
      <w:pPr>
        <w:pStyle w:val="BodyText"/>
        <w:spacing w:before="8"/>
        <w:rPr>
          <w:sz w:val="31"/>
        </w:rPr>
      </w:pPr>
    </w:p>
    <w:p w:rsidR="00E8799E" w:rsidRDefault="00644457">
      <w:pPr>
        <w:pStyle w:val="ListParagraph"/>
        <w:numPr>
          <w:ilvl w:val="3"/>
          <w:numId w:val="5"/>
        </w:numPr>
        <w:tabs>
          <w:tab w:val="left" w:pos="941"/>
        </w:tabs>
        <w:spacing w:line="360" w:lineRule="auto"/>
        <w:ind w:right="211"/>
        <w:jc w:val="both"/>
        <w:rPr>
          <w:sz w:val="24"/>
        </w:rPr>
      </w:pPr>
      <w:r>
        <w:rPr>
          <w:sz w:val="24"/>
        </w:rPr>
        <w:t>Keeping in view of the technical nature of the government budgets, it is essential that Ministries/Departments prepare simplified versions of their budgets which can be understood easily by general public and place them in public domain. Budgets</w:t>
      </w:r>
      <w:r>
        <w:rPr>
          <w:sz w:val="24"/>
        </w:rPr>
        <w:t xml:space="preserve"> and their periodic monitoring reports may also be presented in a more user-friendly manner through graphs and tables,</w:t>
      </w:r>
      <w:r>
        <w:rPr>
          <w:spacing w:val="-3"/>
          <w:sz w:val="24"/>
        </w:rPr>
        <w:t xml:space="preserve"> </w:t>
      </w:r>
      <w:r>
        <w:rPr>
          <w:sz w:val="24"/>
        </w:rPr>
        <w:t>etc.</w:t>
      </w:r>
    </w:p>
    <w:p w:rsidR="00E8799E" w:rsidRDefault="00E8799E">
      <w:pPr>
        <w:pStyle w:val="BodyText"/>
        <w:spacing w:before="9"/>
        <w:rPr>
          <w:sz w:val="19"/>
        </w:rPr>
      </w:pPr>
    </w:p>
    <w:p w:rsidR="00E8799E" w:rsidRDefault="00644457">
      <w:pPr>
        <w:pStyle w:val="ListParagraph"/>
        <w:numPr>
          <w:ilvl w:val="3"/>
          <w:numId w:val="5"/>
        </w:numPr>
        <w:tabs>
          <w:tab w:val="left" w:pos="941"/>
        </w:tabs>
        <w:spacing w:line="360" w:lineRule="auto"/>
        <w:ind w:right="213"/>
        <w:jc w:val="both"/>
        <w:rPr>
          <w:sz w:val="24"/>
        </w:rPr>
      </w:pPr>
      <w:r>
        <w:rPr>
          <w:sz w:val="24"/>
        </w:rPr>
        <w:t>Outcome budget being prepared by Ministries/Departments of Government of India should be prominently displayed and be used as a bas</w:t>
      </w:r>
      <w:r>
        <w:rPr>
          <w:sz w:val="24"/>
        </w:rPr>
        <w:t xml:space="preserve">is to identify physical targets planned during the budgetary period and the actual achievement vis-à-vis those targets. A monthly </w:t>
      </w:r>
      <w:proofErr w:type="spellStart"/>
      <w:r>
        <w:rPr>
          <w:sz w:val="24"/>
        </w:rPr>
        <w:t>programme</w:t>
      </w:r>
      <w:proofErr w:type="spellEnd"/>
      <w:r>
        <w:rPr>
          <w:sz w:val="24"/>
        </w:rPr>
        <w:t xml:space="preserve"> implementation calendar method of reporting being followed in Karnataka is a useful</w:t>
      </w:r>
      <w:r>
        <w:rPr>
          <w:spacing w:val="-6"/>
          <w:sz w:val="24"/>
        </w:rPr>
        <w:t xml:space="preserve"> </w:t>
      </w:r>
      <w:r>
        <w:rPr>
          <w:sz w:val="24"/>
        </w:rPr>
        <w:t>model.</w:t>
      </w:r>
    </w:p>
    <w:p w:rsidR="00E8799E" w:rsidRDefault="00E8799E">
      <w:pPr>
        <w:pStyle w:val="BodyText"/>
        <w:spacing w:before="10"/>
        <w:rPr>
          <w:sz w:val="19"/>
        </w:rPr>
      </w:pPr>
    </w:p>
    <w:p w:rsidR="00E8799E" w:rsidRDefault="00644457">
      <w:pPr>
        <w:pStyle w:val="ListParagraph"/>
        <w:numPr>
          <w:ilvl w:val="3"/>
          <w:numId w:val="5"/>
        </w:numPr>
        <w:tabs>
          <w:tab w:val="left" w:pos="941"/>
        </w:tabs>
        <w:spacing w:line="360" w:lineRule="auto"/>
        <w:ind w:right="214"/>
        <w:jc w:val="both"/>
        <w:rPr>
          <w:sz w:val="24"/>
        </w:rPr>
      </w:pPr>
      <w:r>
        <w:rPr>
          <w:sz w:val="24"/>
        </w:rPr>
        <w:t>Funds released to variou</w:t>
      </w:r>
      <w:r>
        <w:rPr>
          <w:sz w:val="24"/>
        </w:rPr>
        <w:t>s autonomous organizations/ statutory organizations/ attached offices/ Public Sector Enterprises/ Societies/ NGOs/ Corporations etc. should be put on the website on a quarterly basis and budgets of such authorities may be made accessible through links from</w:t>
      </w:r>
      <w:r>
        <w:rPr>
          <w:sz w:val="24"/>
        </w:rPr>
        <w:t xml:space="preserve"> the website of the Ministry/Department. If</w:t>
      </w:r>
      <w:r>
        <w:rPr>
          <w:spacing w:val="7"/>
          <w:sz w:val="24"/>
        </w:rPr>
        <w:t xml:space="preserve"> </w:t>
      </w:r>
      <w:r>
        <w:rPr>
          <w:sz w:val="24"/>
        </w:rPr>
        <w:t>a</w:t>
      </w:r>
      <w:r>
        <w:rPr>
          <w:spacing w:val="6"/>
          <w:sz w:val="24"/>
        </w:rPr>
        <w:t xml:space="preserve"> </w:t>
      </w:r>
      <w:r>
        <w:rPr>
          <w:sz w:val="24"/>
        </w:rPr>
        <w:t>subsidiary</w:t>
      </w:r>
      <w:r>
        <w:rPr>
          <w:spacing w:val="6"/>
          <w:sz w:val="24"/>
        </w:rPr>
        <w:t xml:space="preserve"> </w:t>
      </w:r>
      <w:r>
        <w:rPr>
          <w:sz w:val="24"/>
        </w:rPr>
        <w:t>does</w:t>
      </w:r>
      <w:r>
        <w:rPr>
          <w:spacing w:val="6"/>
          <w:sz w:val="24"/>
        </w:rPr>
        <w:t xml:space="preserve"> </w:t>
      </w:r>
      <w:r>
        <w:rPr>
          <w:sz w:val="24"/>
        </w:rPr>
        <w:t>not</w:t>
      </w:r>
      <w:r>
        <w:rPr>
          <w:spacing w:val="5"/>
          <w:sz w:val="24"/>
        </w:rPr>
        <w:t xml:space="preserve"> </w:t>
      </w:r>
      <w:r>
        <w:rPr>
          <w:sz w:val="24"/>
        </w:rPr>
        <w:t>have</w:t>
      </w:r>
      <w:r>
        <w:rPr>
          <w:spacing w:val="6"/>
          <w:sz w:val="24"/>
        </w:rPr>
        <w:t xml:space="preserve"> </w:t>
      </w:r>
      <w:r>
        <w:rPr>
          <w:sz w:val="24"/>
        </w:rPr>
        <w:t>a</w:t>
      </w:r>
      <w:r>
        <w:rPr>
          <w:spacing w:val="6"/>
          <w:sz w:val="24"/>
        </w:rPr>
        <w:t xml:space="preserve"> </w:t>
      </w:r>
      <w:proofErr w:type="gramStart"/>
      <w:r>
        <w:rPr>
          <w:sz w:val="24"/>
        </w:rPr>
        <w:t>website</w:t>
      </w:r>
      <w:proofErr w:type="gramEnd"/>
      <w:r>
        <w:rPr>
          <w:spacing w:val="5"/>
          <w:sz w:val="24"/>
        </w:rPr>
        <w:t xml:space="preserve"> </w:t>
      </w:r>
      <w:r>
        <w:rPr>
          <w:sz w:val="24"/>
        </w:rPr>
        <w:t>then</w:t>
      </w:r>
      <w:r>
        <w:rPr>
          <w:spacing w:val="5"/>
          <w:sz w:val="24"/>
        </w:rPr>
        <w:t xml:space="preserve"> </w:t>
      </w:r>
      <w:r>
        <w:rPr>
          <w:sz w:val="24"/>
        </w:rPr>
        <w:t>the</w:t>
      </w:r>
      <w:r>
        <w:rPr>
          <w:spacing w:val="5"/>
          <w:sz w:val="24"/>
        </w:rPr>
        <w:t xml:space="preserve"> </w:t>
      </w:r>
      <w:r>
        <w:rPr>
          <w:sz w:val="24"/>
        </w:rPr>
        <w:t>budgets</w:t>
      </w:r>
      <w:r>
        <w:rPr>
          <w:spacing w:val="6"/>
          <w:sz w:val="24"/>
        </w:rPr>
        <w:t xml:space="preserve"> </w:t>
      </w:r>
      <w:r>
        <w:rPr>
          <w:sz w:val="24"/>
        </w:rPr>
        <w:t>and</w:t>
      </w:r>
      <w:r>
        <w:rPr>
          <w:spacing w:val="5"/>
          <w:sz w:val="24"/>
        </w:rPr>
        <w:t xml:space="preserve"> </w:t>
      </w:r>
      <w:r>
        <w:rPr>
          <w:sz w:val="24"/>
        </w:rPr>
        <w:t>expenditure</w:t>
      </w:r>
      <w:r>
        <w:rPr>
          <w:spacing w:val="6"/>
          <w:sz w:val="24"/>
        </w:rPr>
        <w:t xml:space="preserve"> </w:t>
      </w:r>
      <w:r>
        <w:rPr>
          <w:sz w:val="24"/>
        </w:rPr>
        <w:t>reports</w:t>
      </w:r>
      <w:r>
        <w:rPr>
          <w:spacing w:val="3"/>
          <w:sz w:val="24"/>
        </w:rPr>
        <w:t xml:space="preserve"> </w:t>
      </w:r>
      <w:r>
        <w:rPr>
          <w:sz w:val="24"/>
        </w:rPr>
        <w:t>of</w:t>
      </w:r>
    </w:p>
    <w:bookmarkEnd w:id="30"/>
    <w:bookmarkEnd w:id="31"/>
    <w:p w:rsidR="00E8799E" w:rsidRDefault="00E8799E">
      <w:pPr>
        <w:pStyle w:val="BodyText"/>
        <w:rPr>
          <w:sz w:val="20"/>
        </w:rPr>
      </w:pPr>
    </w:p>
    <w:p w:rsidR="00E8799E" w:rsidRDefault="00E8799E">
      <w:pPr>
        <w:pStyle w:val="BodyText"/>
        <w:spacing w:before="2"/>
        <w:rPr>
          <w:sz w:val="28"/>
        </w:rPr>
      </w:pPr>
    </w:p>
    <w:p w:rsidR="00E8799E" w:rsidRDefault="00644457">
      <w:pPr>
        <w:spacing w:before="57"/>
        <w:ind w:right="213"/>
        <w:jc w:val="right"/>
      </w:pPr>
      <w:r>
        <w:t>10</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BodyText"/>
        <w:spacing w:before="41" w:line="360" w:lineRule="auto"/>
        <w:ind w:left="940"/>
      </w:pPr>
      <w:r>
        <w:rPr>
          <w:noProof/>
        </w:rPr>
        <w:lastRenderedPageBreak/>
        <w:drawing>
          <wp:anchor distT="0" distB="0" distL="0" distR="0" simplePos="0" relativeHeight="268422959" behindDoc="1" locked="0" layoutInCell="1" allowOverlap="1">
            <wp:simplePos x="0" y="0"/>
            <wp:positionH relativeFrom="page">
              <wp:posOffset>-7318</wp:posOffset>
            </wp:positionH>
            <wp:positionV relativeFrom="page">
              <wp:posOffset>-87141</wp:posOffset>
            </wp:positionV>
            <wp:extent cx="7560564" cy="10686288"/>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7" cstate="print"/>
                    <a:stretch>
                      <a:fillRect/>
                    </a:stretch>
                  </pic:blipFill>
                  <pic:spPr>
                    <a:xfrm>
                      <a:off x="0" y="0"/>
                      <a:ext cx="7560564" cy="10686288"/>
                    </a:xfrm>
                    <a:prstGeom prst="rect">
                      <a:avLst/>
                    </a:prstGeom>
                  </pic:spPr>
                </pic:pic>
              </a:graphicData>
            </a:graphic>
          </wp:anchor>
        </w:drawing>
      </w:r>
      <w:r>
        <w:t>s</w:t>
      </w:r>
      <w:bookmarkStart w:id="32" w:name="OLE_LINK37"/>
      <w:bookmarkStart w:id="33" w:name="OLE_LINK38"/>
      <w:r>
        <w:t>uch subsidiary authority may be uploaded on the website of the principal Public Authority.</w:t>
      </w:r>
    </w:p>
    <w:p w:rsidR="00E8799E" w:rsidRDefault="00E8799E">
      <w:pPr>
        <w:pStyle w:val="BodyText"/>
        <w:spacing w:before="8"/>
        <w:rPr>
          <w:sz w:val="19"/>
        </w:rPr>
      </w:pPr>
    </w:p>
    <w:p w:rsidR="00E8799E" w:rsidRDefault="00644457">
      <w:pPr>
        <w:pStyle w:val="ListParagraph"/>
        <w:numPr>
          <w:ilvl w:val="3"/>
          <w:numId w:val="5"/>
        </w:numPr>
        <w:tabs>
          <w:tab w:val="left" w:pos="941"/>
        </w:tabs>
        <w:spacing w:line="360" w:lineRule="auto"/>
        <w:ind w:right="212"/>
        <w:jc w:val="both"/>
        <w:rPr>
          <w:sz w:val="24"/>
        </w:rPr>
      </w:pPr>
      <w:r>
        <w:rPr>
          <w:sz w:val="24"/>
        </w:rPr>
        <w:t xml:space="preserve">Wherever required by law or executive instruction, sector specific allocations and achievements of every department or public authority (where feasible) must be highlighted. For example, budget allocation and target focusing on gender, children, Scheduled </w:t>
      </w:r>
      <w:r>
        <w:rPr>
          <w:sz w:val="24"/>
        </w:rPr>
        <w:t>Castes and Scheduled Tribes and religious minorities should be specially highlighted. The sector-wise breakup of these targets and actual outcomes must be given in simplified form to enable the vulnerable segments of society to better understand the budget</w:t>
      </w:r>
      <w:r>
        <w:rPr>
          <w:sz w:val="24"/>
        </w:rPr>
        <w:t>s of public</w:t>
      </w:r>
      <w:r>
        <w:rPr>
          <w:spacing w:val="-6"/>
          <w:sz w:val="24"/>
        </w:rPr>
        <w:t xml:space="preserve"> </w:t>
      </w:r>
      <w:r>
        <w:rPr>
          <w:sz w:val="24"/>
        </w:rPr>
        <w:t>authorities.</w:t>
      </w:r>
    </w:p>
    <w:p w:rsidR="00E8799E" w:rsidRDefault="00644457">
      <w:pPr>
        <w:pStyle w:val="Heading2"/>
        <w:numPr>
          <w:ilvl w:val="1"/>
          <w:numId w:val="5"/>
        </w:numPr>
        <w:tabs>
          <w:tab w:val="left" w:pos="941"/>
        </w:tabs>
        <w:spacing w:before="200" w:line="360" w:lineRule="auto"/>
        <w:ind w:right="216" w:firstLine="0"/>
        <w:jc w:val="both"/>
      </w:pPr>
      <w:bookmarkStart w:id="34" w:name="OLE_LINK39"/>
      <w:bookmarkStart w:id="35" w:name="OLE_LINK40"/>
      <w:bookmarkEnd w:id="32"/>
      <w:bookmarkEnd w:id="33"/>
      <w:r>
        <w:t>Guidelines for Section 4(1)(b)(xiv) – details in respect of information, available to or held by it, reduced in an electronic</w:t>
      </w:r>
      <w:r>
        <w:rPr>
          <w:spacing w:val="-4"/>
        </w:rPr>
        <w:t xml:space="preserve"> </w:t>
      </w:r>
      <w:r>
        <w:t>form</w:t>
      </w:r>
      <w:bookmarkEnd w:id="34"/>
      <w:bookmarkEnd w:id="35"/>
      <w:r>
        <w:t>.</w:t>
      </w:r>
    </w:p>
    <w:p w:rsidR="00E8799E" w:rsidRDefault="00E8799E">
      <w:pPr>
        <w:pStyle w:val="BodyText"/>
        <w:spacing w:before="8"/>
        <w:rPr>
          <w:b/>
          <w:sz w:val="19"/>
        </w:rPr>
      </w:pPr>
    </w:p>
    <w:p w:rsidR="00E8799E" w:rsidRDefault="00644457">
      <w:pPr>
        <w:pStyle w:val="ListParagraph"/>
        <w:numPr>
          <w:ilvl w:val="2"/>
          <w:numId w:val="5"/>
        </w:numPr>
        <w:tabs>
          <w:tab w:val="left" w:pos="941"/>
        </w:tabs>
        <w:spacing w:line="360" w:lineRule="auto"/>
        <w:ind w:right="211" w:firstLine="0"/>
        <w:jc w:val="both"/>
        <w:rPr>
          <w:sz w:val="24"/>
        </w:rPr>
      </w:pPr>
      <w:bookmarkStart w:id="36" w:name="OLE_LINK41"/>
      <w:bookmarkStart w:id="37" w:name="OLE_LINK42"/>
      <w:r>
        <w:rPr>
          <w:sz w:val="24"/>
        </w:rPr>
        <w:t>On the one hand, this clause serves as a means of proactively disclosing the progress made in comp</w:t>
      </w:r>
      <w:r>
        <w:rPr>
          <w:sz w:val="24"/>
        </w:rPr>
        <w:t xml:space="preserve">uterizing information under Section 4(1)(a) of the RTI Act in a periodic manner. On the other, it provides people with clarity about the kinds of electronic information that, although not held by the public authority, is available to them. For </w:t>
      </w:r>
      <w:proofErr w:type="gramStart"/>
      <w:r>
        <w:rPr>
          <w:sz w:val="24"/>
        </w:rPr>
        <w:t>example</w:t>
      </w:r>
      <w:proofErr w:type="gramEnd"/>
      <w:r>
        <w:rPr>
          <w:sz w:val="24"/>
        </w:rPr>
        <w:t xml:space="preserve"> the </w:t>
      </w:r>
      <w:r>
        <w:rPr>
          <w:sz w:val="24"/>
        </w:rPr>
        <w:t>stocks of ration available with individual fair price shops may not be held by the District Civil Supplies office, but may be available at a subordinate</w:t>
      </w:r>
      <w:r>
        <w:rPr>
          <w:spacing w:val="-14"/>
          <w:sz w:val="24"/>
        </w:rPr>
        <w:t xml:space="preserve"> </w:t>
      </w:r>
      <w:r>
        <w:rPr>
          <w:sz w:val="24"/>
        </w:rPr>
        <w:t>formation.</w:t>
      </w:r>
    </w:p>
    <w:p w:rsidR="00E8799E" w:rsidRDefault="00644457">
      <w:pPr>
        <w:pStyle w:val="ListParagraph"/>
        <w:numPr>
          <w:ilvl w:val="2"/>
          <w:numId w:val="5"/>
        </w:numPr>
        <w:tabs>
          <w:tab w:val="left" w:pos="941"/>
        </w:tabs>
        <w:spacing w:before="200" w:line="360" w:lineRule="auto"/>
        <w:ind w:right="215" w:firstLine="0"/>
        <w:jc w:val="both"/>
        <w:rPr>
          <w:sz w:val="24"/>
        </w:rPr>
      </w:pPr>
      <w:r>
        <w:rPr>
          <w:sz w:val="24"/>
        </w:rPr>
        <w:t>Keeping in view the varied levels of computerization of records and documents in public auth</w:t>
      </w:r>
      <w:r>
        <w:rPr>
          <w:sz w:val="24"/>
        </w:rPr>
        <w:t xml:space="preserve">orities, data about records that have been digitized may be proactively disclosed on the respective websites, excluding </w:t>
      </w:r>
      <w:proofErr w:type="gramStart"/>
      <w:r>
        <w:rPr>
          <w:sz w:val="24"/>
        </w:rPr>
        <w:t>those records /files /information</w:t>
      </w:r>
      <w:proofErr w:type="gramEnd"/>
      <w:r>
        <w:rPr>
          <w:sz w:val="24"/>
        </w:rPr>
        <w:t xml:space="preserve"> that are exempted under Section 8. The data about digitized record may include the name of the record </w:t>
      </w:r>
      <w:r>
        <w:rPr>
          <w:sz w:val="24"/>
        </w:rPr>
        <w:t>and any categorization or indexing used; the subject matter and any other information that is required to be compiled in relation to a file as prescribed by Manual of Office Procedure (and to be prescribed by MOP for electronic records that is under finali</w:t>
      </w:r>
      <w:r>
        <w:rPr>
          <w:sz w:val="24"/>
        </w:rPr>
        <w:t>zation by DARPG), the division/ section/ unit/ office where the record is normally held; the person, with designation, responsible for maintaining the record; and the life span of the record, as prescribed in the relevant record retention</w:t>
      </w:r>
      <w:r>
        <w:rPr>
          <w:spacing w:val="-2"/>
          <w:sz w:val="24"/>
        </w:rPr>
        <w:t xml:space="preserve"> </w:t>
      </w:r>
      <w:r>
        <w:rPr>
          <w:sz w:val="24"/>
        </w:rPr>
        <w:t>schedule.</w:t>
      </w:r>
    </w:p>
    <w:bookmarkEnd w:id="36"/>
    <w:bookmarkEnd w:id="37"/>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644457">
      <w:pPr>
        <w:spacing w:before="187"/>
        <w:ind w:right="213"/>
        <w:jc w:val="right"/>
      </w:pPr>
      <w:r>
        <w:t>11</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ListParagraph"/>
        <w:numPr>
          <w:ilvl w:val="1"/>
          <w:numId w:val="3"/>
        </w:numPr>
        <w:tabs>
          <w:tab w:val="left" w:pos="941"/>
        </w:tabs>
        <w:spacing w:before="39"/>
        <w:ind w:firstLine="50"/>
        <w:jc w:val="both"/>
        <w:rPr>
          <w:b/>
        </w:rPr>
      </w:pPr>
      <w:r>
        <w:rPr>
          <w:noProof/>
        </w:rPr>
        <w:lastRenderedPageBreak/>
        <w:drawing>
          <wp:anchor distT="0" distB="0" distL="0" distR="0" simplePos="0" relativeHeight="268422983" behindDoc="1" locked="0" layoutInCell="1" allowOverlap="1">
            <wp:simplePos x="0" y="0"/>
            <wp:positionH relativeFrom="page">
              <wp:posOffset>0</wp:posOffset>
            </wp:positionH>
            <wp:positionV relativeFrom="page">
              <wp:posOffset>3047</wp:posOffset>
            </wp:positionV>
            <wp:extent cx="7560564" cy="10686288"/>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7" cstate="print"/>
                    <a:stretch>
                      <a:fillRect/>
                    </a:stretch>
                  </pic:blipFill>
                  <pic:spPr>
                    <a:xfrm>
                      <a:off x="0" y="0"/>
                      <a:ext cx="7560564" cy="10686288"/>
                    </a:xfrm>
                    <a:prstGeom prst="rect">
                      <a:avLst/>
                    </a:prstGeom>
                  </pic:spPr>
                </pic:pic>
              </a:graphicData>
            </a:graphic>
          </wp:anchor>
        </w:drawing>
      </w:r>
      <w:r>
        <w:rPr>
          <w:b/>
        </w:rPr>
        <w:t>C</w:t>
      </w:r>
      <w:bookmarkStart w:id="38" w:name="OLE_LINK43"/>
      <w:bookmarkStart w:id="39" w:name="OLE_LINK44"/>
      <w:r>
        <w:rPr>
          <w:b/>
        </w:rPr>
        <w:t xml:space="preserve">ompliance with Provisions of </w:t>
      </w:r>
      <w:proofErr w:type="spellStart"/>
      <w:r>
        <w:rPr>
          <w:rFonts w:ascii="Calibri-BoldItalic"/>
          <w:b/>
          <w:i/>
        </w:rPr>
        <w:t>suo</w:t>
      </w:r>
      <w:proofErr w:type="spellEnd"/>
      <w:r>
        <w:rPr>
          <w:rFonts w:ascii="Calibri-BoldItalic"/>
          <w:b/>
          <w:i/>
        </w:rPr>
        <w:t xml:space="preserve"> </w:t>
      </w:r>
      <w:proofErr w:type="spellStart"/>
      <w:r>
        <w:rPr>
          <w:rFonts w:ascii="Calibri-BoldItalic"/>
          <w:b/>
          <w:i/>
        </w:rPr>
        <w:t>motu</w:t>
      </w:r>
      <w:proofErr w:type="spellEnd"/>
      <w:r>
        <w:rPr>
          <w:rFonts w:ascii="Calibri-BoldItalic"/>
          <w:b/>
          <w:i/>
        </w:rPr>
        <w:t xml:space="preserve"> </w:t>
      </w:r>
      <w:r>
        <w:rPr>
          <w:b/>
        </w:rPr>
        <w:t>(proactive) disclosure under the RTI</w:t>
      </w:r>
      <w:r>
        <w:rPr>
          <w:b/>
          <w:spacing w:val="-13"/>
        </w:rPr>
        <w:t xml:space="preserve"> </w:t>
      </w:r>
      <w:r>
        <w:rPr>
          <w:b/>
        </w:rPr>
        <w:t>Act</w:t>
      </w:r>
      <w:bookmarkEnd w:id="38"/>
      <w:bookmarkEnd w:id="39"/>
    </w:p>
    <w:p w:rsidR="00E8799E" w:rsidRDefault="00E8799E">
      <w:pPr>
        <w:pStyle w:val="BodyText"/>
        <w:rPr>
          <w:b/>
          <w:sz w:val="21"/>
        </w:rPr>
      </w:pPr>
    </w:p>
    <w:p w:rsidR="00E8799E" w:rsidRDefault="00644457">
      <w:pPr>
        <w:pStyle w:val="ListParagraph"/>
        <w:numPr>
          <w:ilvl w:val="1"/>
          <w:numId w:val="3"/>
        </w:numPr>
        <w:tabs>
          <w:tab w:val="left" w:pos="940"/>
          <w:tab w:val="left" w:pos="941"/>
        </w:tabs>
        <w:spacing w:line="360" w:lineRule="auto"/>
        <w:ind w:right="1377" w:firstLine="0"/>
        <w:rPr>
          <w:sz w:val="24"/>
        </w:rPr>
      </w:pPr>
      <w:bookmarkStart w:id="40" w:name="OLE_LINK45"/>
      <w:bookmarkStart w:id="41" w:name="OLE_LINK46"/>
      <w:r>
        <w:rPr>
          <w:sz w:val="24"/>
        </w:rPr>
        <w:t>Each Ministry/Public Authority shall ensure that these guidelines are fully operationalized within a period of 6 months from the date of their</w:t>
      </w:r>
      <w:r>
        <w:rPr>
          <w:spacing w:val="-17"/>
          <w:sz w:val="24"/>
        </w:rPr>
        <w:t xml:space="preserve"> </w:t>
      </w:r>
      <w:r>
        <w:rPr>
          <w:sz w:val="24"/>
        </w:rPr>
        <w:t>issue.</w:t>
      </w:r>
    </w:p>
    <w:p w:rsidR="00E8799E" w:rsidRDefault="00644457">
      <w:pPr>
        <w:pStyle w:val="ListParagraph"/>
        <w:numPr>
          <w:ilvl w:val="1"/>
          <w:numId w:val="3"/>
        </w:numPr>
        <w:tabs>
          <w:tab w:val="left" w:pos="941"/>
        </w:tabs>
        <w:spacing w:before="120" w:line="360" w:lineRule="auto"/>
        <w:ind w:right="211" w:firstLine="0"/>
        <w:jc w:val="both"/>
        <w:rPr>
          <w:sz w:val="24"/>
        </w:rPr>
      </w:pPr>
      <w:r>
        <w:rPr>
          <w:sz w:val="24"/>
        </w:rPr>
        <w:t>Proactive disclosure as per these guidelines would require collating a large quantum of information and digitizing it. For this purpose, Ministries/Public Authorities may engage consultants or outsource such work to expeditiously comply with these guidelin</w:t>
      </w:r>
      <w:r>
        <w:rPr>
          <w:sz w:val="24"/>
        </w:rPr>
        <w:t>es. For this purpose, the plan/non-plan funds of that department may be</w:t>
      </w:r>
      <w:r>
        <w:rPr>
          <w:spacing w:val="-4"/>
          <w:sz w:val="24"/>
        </w:rPr>
        <w:t xml:space="preserve"> </w:t>
      </w:r>
      <w:r>
        <w:rPr>
          <w:sz w:val="24"/>
        </w:rPr>
        <w:t>utilized.</w:t>
      </w:r>
    </w:p>
    <w:p w:rsidR="00E8799E" w:rsidRDefault="00644457">
      <w:pPr>
        <w:pStyle w:val="ListParagraph"/>
        <w:numPr>
          <w:ilvl w:val="1"/>
          <w:numId w:val="3"/>
        </w:numPr>
        <w:tabs>
          <w:tab w:val="left" w:pos="941"/>
        </w:tabs>
        <w:spacing w:before="120" w:line="360" w:lineRule="auto"/>
        <w:ind w:right="211" w:firstLine="0"/>
        <w:jc w:val="both"/>
        <w:rPr>
          <w:sz w:val="24"/>
        </w:rPr>
      </w:pPr>
      <w:r>
        <w:rPr>
          <w:sz w:val="24"/>
        </w:rPr>
        <w:t xml:space="preserve">The Action Taken Report on the compliance of these guidelines should be sent, along with the URL link, to the </w:t>
      </w:r>
      <w:proofErr w:type="spellStart"/>
      <w:r>
        <w:rPr>
          <w:sz w:val="24"/>
        </w:rPr>
        <w:t>DoPT</w:t>
      </w:r>
      <w:proofErr w:type="spellEnd"/>
      <w:r>
        <w:rPr>
          <w:sz w:val="24"/>
        </w:rPr>
        <w:t xml:space="preserve"> and Central Information Commission soon after the expiry of</w:t>
      </w:r>
      <w:r>
        <w:rPr>
          <w:sz w:val="24"/>
        </w:rPr>
        <w:t xml:space="preserve"> the initial period of 6</w:t>
      </w:r>
      <w:r>
        <w:rPr>
          <w:spacing w:val="-3"/>
          <w:sz w:val="24"/>
        </w:rPr>
        <w:t xml:space="preserve"> </w:t>
      </w:r>
      <w:r>
        <w:rPr>
          <w:sz w:val="24"/>
        </w:rPr>
        <w:t>months.</w:t>
      </w:r>
    </w:p>
    <w:p w:rsidR="00E8799E" w:rsidRDefault="00644457">
      <w:pPr>
        <w:pStyle w:val="ListParagraph"/>
        <w:numPr>
          <w:ilvl w:val="1"/>
          <w:numId w:val="3"/>
        </w:numPr>
        <w:tabs>
          <w:tab w:val="left" w:pos="941"/>
        </w:tabs>
        <w:spacing w:before="200" w:line="360" w:lineRule="auto"/>
        <w:ind w:right="212" w:firstLine="0"/>
        <w:jc w:val="both"/>
        <w:rPr>
          <w:sz w:val="24"/>
        </w:rPr>
      </w:pPr>
      <w:r>
        <w:rPr>
          <w:sz w:val="24"/>
        </w:rPr>
        <w:t>Each Ministry/ Public Authority should get its proactive disclosure package audited by third party every year. The audit should cover compliance with the proactive disclosure guidelines as well as adequacy of the items incl</w:t>
      </w:r>
      <w:r>
        <w:rPr>
          <w:sz w:val="24"/>
        </w:rPr>
        <w:t>uded in the package. The audit should examine whether there are any other types of information which could be proactively disclosed. Such audit should be done annually and should be communicated to the Central Information Commission annually through public</w:t>
      </w:r>
      <w:r>
        <w:rPr>
          <w:sz w:val="24"/>
        </w:rPr>
        <w:t xml:space="preserve">ation on their own websites. All Public Authorities should proactively disclose the names of the </w:t>
      </w:r>
      <w:proofErr w:type="gramStart"/>
      <w:r>
        <w:rPr>
          <w:sz w:val="24"/>
        </w:rPr>
        <w:t>third party</w:t>
      </w:r>
      <w:proofErr w:type="gramEnd"/>
      <w:r>
        <w:rPr>
          <w:sz w:val="24"/>
        </w:rPr>
        <w:t xml:space="preserve"> auditors on their website. For carrying out third party audit through outside consultants also, Ministries/Public Authorities should utilize their </w:t>
      </w:r>
      <w:r>
        <w:rPr>
          <w:sz w:val="24"/>
        </w:rPr>
        <w:t>plan/non-plan</w:t>
      </w:r>
      <w:r>
        <w:rPr>
          <w:spacing w:val="-4"/>
          <w:sz w:val="24"/>
        </w:rPr>
        <w:t xml:space="preserve"> </w:t>
      </w:r>
      <w:r>
        <w:rPr>
          <w:sz w:val="24"/>
        </w:rPr>
        <w:t>funds.</w:t>
      </w:r>
    </w:p>
    <w:p w:rsidR="00E8799E" w:rsidRDefault="00644457">
      <w:pPr>
        <w:pStyle w:val="ListParagraph"/>
        <w:numPr>
          <w:ilvl w:val="1"/>
          <w:numId w:val="3"/>
        </w:numPr>
        <w:tabs>
          <w:tab w:val="left" w:pos="941"/>
        </w:tabs>
        <w:spacing w:before="200" w:line="360" w:lineRule="auto"/>
        <w:ind w:right="214" w:firstLine="0"/>
        <w:jc w:val="both"/>
        <w:rPr>
          <w:sz w:val="24"/>
        </w:rPr>
      </w:pPr>
      <w:r>
        <w:rPr>
          <w:sz w:val="24"/>
        </w:rPr>
        <w:t>The Central Information Commission should examine the third-party audit reports for each Ministry/Public Authority and offer advice/recommendations to the concerned Ministries/ Public</w:t>
      </w:r>
      <w:r>
        <w:rPr>
          <w:spacing w:val="-1"/>
          <w:sz w:val="24"/>
        </w:rPr>
        <w:t xml:space="preserve"> </w:t>
      </w:r>
      <w:r>
        <w:rPr>
          <w:sz w:val="24"/>
        </w:rPr>
        <w:t>Authorities.</w:t>
      </w:r>
    </w:p>
    <w:p w:rsidR="00E8799E" w:rsidRDefault="00644457">
      <w:pPr>
        <w:pStyle w:val="ListParagraph"/>
        <w:numPr>
          <w:ilvl w:val="1"/>
          <w:numId w:val="3"/>
        </w:numPr>
        <w:tabs>
          <w:tab w:val="left" w:pos="941"/>
        </w:tabs>
        <w:spacing w:before="202" w:line="360" w:lineRule="auto"/>
        <w:ind w:right="214" w:firstLine="0"/>
        <w:jc w:val="both"/>
        <w:rPr>
          <w:sz w:val="24"/>
        </w:rPr>
      </w:pPr>
      <w:r>
        <w:rPr>
          <w:sz w:val="24"/>
        </w:rPr>
        <w:t>Central Information Commission should carry out sample audit of few of the Ministries/ Public Authorities each year with regard to adequacy of items included as well as compliance of the Ministry/Public Authority with these</w:t>
      </w:r>
      <w:r>
        <w:rPr>
          <w:spacing w:val="-9"/>
          <w:sz w:val="24"/>
        </w:rPr>
        <w:t xml:space="preserve"> </w:t>
      </w:r>
      <w:r>
        <w:rPr>
          <w:sz w:val="24"/>
        </w:rPr>
        <w:t>guidelines.</w:t>
      </w:r>
    </w:p>
    <w:p w:rsidR="00E8799E" w:rsidRDefault="00644457">
      <w:pPr>
        <w:pStyle w:val="ListParagraph"/>
        <w:numPr>
          <w:ilvl w:val="1"/>
          <w:numId w:val="3"/>
        </w:numPr>
        <w:tabs>
          <w:tab w:val="left" w:pos="941"/>
        </w:tabs>
        <w:spacing w:before="200" w:line="360" w:lineRule="auto"/>
        <w:ind w:right="210" w:firstLine="0"/>
        <w:jc w:val="both"/>
        <w:rPr>
          <w:sz w:val="24"/>
        </w:rPr>
      </w:pPr>
      <w:r>
        <w:rPr>
          <w:sz w:val="24"/>
        </w:rPr>
        <w:t xml:space="preserve">Compliance with the </w:t>
      </w:r>
      <w:r>
        <w:rPr>
          <w:sz w:val="24"/>
        </w:rPr>
        <w:t>proactive disclosure guidelines, its audit by third party and its communication to the Central Information Commission should be included as RFD</w:t>
      </w:r>
      <w:r>
        <w:rPr>
          <w:spacing w:val="-13"/>
          <w:sz w:val="24"/>
        </w:rPr>
        <w:t xml:space="preserve"> </w:t>
      </w:r>
      <w:r>
        <w:rPr>
          <w:sz w:val="24"/>
        </w:rPr>
        <w:t>target.</w:t>
      </w:r>
    </w:p>
    <w:p w:rsidR="00E8799E" w:rsidRDefault="00E8799E">
      <w:pPr>
        <w:pStyle w:val="BodyText"/>
        <w:rPr>
          <w:sz w:val="20"/>
        </w:rPr>
      </w:pPr>
    </w:p>
    <w:bookmarkEnd w:id="40"/>
    <w:bookmarkEnd w:id="41"/>
    <w:p w:rsidR="00E8799E" w:rsidRDefault="00E8799E">
      <w:pPr>
        <w:pStyle w:val="BodyText"/>
        <w:rPr>
          <w:sz w:val="20"/>
        </w:rPr>
      </w:pPr>
    </w:p>
    <w:p w:rsidR="00E8799E" w:rsidRDefault="00E8799E">
      <w:pPr>
        <w:pStyle w:val="BodyText"/>
        <w:rPr>
          <w:sz w:val="20"/>
        </w:rPr>
      </w:pPr>
    </w:p>
    <w:p w:rsidR="00E8799E" w:rsidRDefault="00E8799E">
      <w:pPr>
        <w:pStyle w:val="BodyText"/>
        <w:rPr>
          <w:sz w:val="20"/>
        </w:rPr>
      </w:pPr>
    </w:p>
    <w:p w:rsidR="00E8799E" w:rsidRDefault="00644457">
      <w:pPr>
        <w:spacing w:before="185"/>
        <w:ind w:right="213"/>
        <w:jc w:val="right"/>
      </w:pPr>
      <w:r>
        <w:t>12</w:t>
      </w:r>
    </w:p>
    <w:p w:rsidR="00E8799E" w:rsidRDefault="00E8799E">
      <w:pPr>
        <w:jc w:val="right"/>
        <w:sectPr w:rsidR="00E8799E">
          <w:pgSz w:w="11910" w:h="16840"/>
          <w:pgMar w:top="1380" w:right="1220" w:bottom="280" w:left="1220" w:header="720" w:footer="720" w:gutter="0"/>
          <w:cols w:space="720"/>
        </w:sectPr>
      </w:pPr>
    </w:p>
    <w:p w:rsidR="00E8799E" w:rsidRDefault="00644457">
      <w:pPr>
        <w:pStyle w:val="Heading2"/>
        <w:numPr>
          <w:ilvl w:val="1"/>
          <w:numId w:val="2"/>
        </w:numPr>
        <w:tabs>
          <w:tab w:val="left" w:pos="856"/>
          <w:tab w:val="left" w:pos="857"/>
        </w:tabs>
        <w:spacing w:before="41"/>
        <w:ind w:firstLine="0"/>
      </w:pPr>
      <w:r>
        <w:rPr>
          <w:noProof/>
        </w:rPr>
        <w:lastRenderedPageBreak/>
        <w:drawing>
          <wp:anchor distT="0" distB="0" distL="0" distR="0" simplePos="0" relativeHeight="268423007" behindDoc="1" locked="0" layoutInCell="1" allowOverlap="1">
            <wp:simplePos x="0" y="0"/>
            <wp:positionH relativeFrom="page">
              <wp:posOffset>0</wp:posOffset>
            </wp:positionH>
            <wp:positionV relativeFrom="page">
              <wp:posOffset>3047</wp:posOffset>
            </wp:positionV>
            <wp:extent cx="7560564" cy="10686288"/>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7" cstate="print"/>
                    <a:stretch>
                      <a:fillRect/>
                    </a:stretch>
                  </pic:blipFill>
                  <pic:spPr>
                    <a:xfrm>
                      <a:off x="0" y="0"/>
                      <a:ext cx="7560564" cy="10686288"/>
                    </a:xfrm>
                    <a:prstGeom prst="rect">
                      <a:avLst/>
                    </a:prstGeom>
                  </pic:spPr>
                </pic:pic>
              </a:graphicData>
            </a:graphic>
          </wp:anchor>
        </w:drawing>
      </w:r>
      <w:r>
        <w:t>Nodal</w:t>
      </w:r>
      <w:r>
        <w:rPr>
          <w:spacing w:val="-2"/>
        </w:rPr>
        <w:t xml:space="preserve"> </w:t>
      </w:r>
      <w:r>
        <w:t>Officer</w:t>
      </w:r>
    </w:p>
    <w:p w:rsidR="00E8799E" w:rsidRDefault="00644457">
      <w:pPr>
        <w:pStyle w:val="ListParagraph"/>
        <w:numPr>
          <w:ilvl w:val="1"/>
          <w:numId w:val="2"/>
        </w:numPr>
        <w:tabs>
          <w:tab w:val="left" w:pos="941"/>
        </w:tabs>
        <w:spacing w:before="146" w:line="360" w:lineRule="auto"/>
        <w:ind w:right="214" w:firstLine="0"/>
        <w:jc w:val="both"/>
        <w:rPr>
          <w:sz w:val="24"/>
        </w:rPr>
      </w:pPr>
      <w:r>
        <w:rPr>
          <w:sz w:val="24"/>
        </w:rPr>
        <w:t>Each Central Ministry/ Public Authority should appoint a senior officer not below the rank of a Joint Secretary and not below rank of Additional HOD in case of attached offices for ensuring compliance with the proactive disclosure guidelines. The Nodal Off</w:t>
      </w:r>
      <w:r>
        <w:rPr>
          <w:sz w:val="24"/>
        </w:rPr>
        <w:t>ice</w:t>
      </w:r>
      <w:bookmarkStart w:id="42" w:name="_GoBack"/>
      <w:bookmarkEnd w:id="42"/>
      <w:r>
        <w:rPr>
          <w:sz w:val="24"/>
        </w:rPr>
        <w:t>r would work under the supervision of the Secretary of the Ministry/Department or the HOD of the attached office, as the case may be. Nodal Officers of Ministry/Department and HOD separately should also ensure that the formations below the Ministry/Depa</w:t>
      </w:r>
      <w:r>
        <w:rPr>
          <w:sz w:val="24"/>
        </w:rPr>
        <w:t>rtment/Attached Office also disclose the information as per the proactive disclosure</w:t>
      </w:r>
      <w:r>
        <w:rPr>
          <w:spacing w:val="-6"/>
          <w:sz w:val="24"/>
        </w:rPr>
        <w:t xml:space="preserve"> </w:t>
      </w:r>
      <w:r>
        <w:rPr>
          <w:sz w:val="24"/>
        </w:rPr>
        <w:t>guidelines.</w:t>
      </w:r>
    </w:p>
    <w:p w:rsidR="00E8799E" w:rsidRDefault="00644457">
      <w:pPr>
        <w:pStyle w:val="Heading2"/>
        <w:numPr>
          <w:ilvl w:val="1"/>
          <w:numId w:val="1"/>
        </w:numPr>
        <w:tabs>
          <w:tab w:val="left" w:pos="801"/>
          <w:tab w:val="left" w:pos="802"/>
        </w:tabs>
        <w:spacing w:before="201"/>
        <w:ind w:firstLine="0"/>
      </w:pPr>
      <w:r>
        <w:t>Annual Reports to</w:t>
      </w:r>
      <w:r>
        <w:rPr>
          <w:spacing w:val="-19"/>
        </w:rPr>
        <w:t xml:space="preserve"> </w:t>
      </w:r>
      <w:r>
        <w:t>Parliament/Legislatures</w:t>
      </w:r>
    </w:p>
    <w:p w:rsidR="00E8799E" w:rsidRDefault="00644457">
      <w:pPr>
        <w:pStyle w:val="ListParagraph"/>
        <w:numPr>
          <w:ilvl w:val="1"/>
          <w:numId w:val="1"/>
        </w:numPr>
        <w:tabs>
          <w:tab w:val="left" w:pos="941"/>
        </w:tabs>
        <w:spacing w:before="146" w:line="360" w:lineRule="auto"/>
        <w:ind w:right="215" w:firstLine="0"/>
        <w:jc w:val="both"/>
        <w:rPr>
          <w:sz w:val="24"/>
        </w:rPr>
      </w:pPr>
      <w:r>
        <w:rPr>
          <w:sz w:val="24"/>
        </w:rPr>
        <w:t>Government has issued directions to all Ministries/Departments to include a chapter on RTI Act in their Annual Report</w:t>
      </w:r>
      <w:r>
        <w:rPr>
          <w:sz w:val="24"/>
        </w:rPr>
        <w:t>s submitted to the Parliament. Details about compliance with proactive disclosure guidelines should mandatorily be included in the relevant chapter in Annual Report of</w:t>
      </w:r>
      <w:r>
        <w:rPr>
          <w:spacing w:val="-2"/>
          <w:sz w:val="24"/>
        </w:rPr>
        <w:t xml:space="preserve"> </w:t>
      </w:r>
      <w:r>
        <w:rPr>
          <w:sz w:val="24"/>
        </w:rPr>
        <w:t>Ministry/Department.</w:t>
      </w:r>
    </w:p>
    <w:p w:rsidR="00E8799E" w:rsidRDefault="00E8799E">
      <w:pPr>
        <w:pStyle w:val="BodyText"/>
      </w:pPr>
    </w:p>
    <w:p w:rsidR="00E8799E" w:rsidRDefault="00E8799E">
      <w:pPr>
        <w:pStyle w:val="BodyText"/>
      </w:pPr>
    </w:p>
    <w:p w:rsidR="00E8799E" w:rsidRDefault="00644457">
      <w:pPr>
        <w:spacing w:before="196"/>
        <w:ind w:left="2203" w:right="1483"/>
        <w:jc w:val="center"/>
        <w:rPr>
          <w:b/>
          <w:sz w:val="28"/>
        </w:rPr>
      </w:pPr>
      <w:r>
        <w:rPr>
          <w:b/>
          <w:sz w:val="28"/>
        </w:rPr>
        <w:t>******</w:t>
      </w: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rPr>
          <w:b/>
          <w:sz w:val="20"/>
        </w:rPr>
      </w:pPr>
    </w:p>
    <w:p w:rsidR="00E8799E" w:rsidRDefault="00E8799E">
      <w:pPr>
        <w:pStyle w:val="BodyText"/>
        <w:spacing w:before="4"/>
        <w:rPr>
          <w:b/>
          <w:sz w:val="18"/>
        </w:rPr>
      </w:pPr>
    </w:p>
    <w:p w:rsidR="00E8799E" w:rsidRDefault="00644457">
      <w:pPr>
        <w:spacing w:before="56"/>
        <w:ind w:right="213"/>
        <w:jc w:val="right"/>
      </w:pPr>
      <w:r>
        <w:t>13</w:t>
      </w:r>
    </w:p>
    <w:sectPr w:rsidR="00E8799E">
      <w:pgSz w:w="11910" w:h="16840"/>
      <w:pgMar w:top="138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BoldItalic">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A0D"/>
    <w:multiLevelType w:val="hybridMultilevel"/>
    <w:tmpl w:val="7FA0C3A0"/>
    <w:lvl w:ilvl="0" w:tplc="81A403D8">
      <w:start w:val="1"/>
      <w:numFmt w:val="decimal"/>
      <w:lvlText w:val="%1."/>
      <w:lvlJc w:val="left"/>
      <w:pPr>
        <w:ind w:left="1468" w:hanging="537"/>
        <w:jc w:val="left"/>
      </w:pPr>
      <w:rPr>
        <w:rFonts w:ascii="Arial" w:eastAsia="Arial" w:hAnsi="Arial" w:cs="Arial" w:hint="default"/>
        <w:color w:val="3D3D3D"/>
        <w:spacing w:val="-1"/>
        <w:w w:val="104"/>
        <w:sz w:val="16"/>
        <w:szCs w:val="16"/>
        <w:lang w:val="en-US" w:eastAsia="en-US" w:bidi="en-US"/>
      </w:rPr>
    </w:lvl>
    <w:lvl w:ilvl="1" w:tplc="E6BEC640">
      <w:numFmt w:val="bullet"/>
      <w:lvlText w:val="•"/>
      <w:lvlJc w:val="left"/>
      <w:pPr>
        <w:ind w:left="2260" w:hanging="537"/>
      </w:pPr>
      <w:rPr>
        <w:rFonts w:hint="default"/>
        <w:lang w:val="en-US" w:eastAsia="en-US" w:bidi="en-US"/>
      </w:rPr>
    </w:lvl>
    <w:lvl w:ilvl="2" w:tplc="2BB62ECE">
      <w:numFmt w:val="bullet"/>
      <w:lvlText w:val="•"/>
      <w:lvlJc w:val="left"/>
      <w:pPr>
        <w:ind w:left="3061" w:hanging="537"/>
      </w:pPr>
      <w:rPr>
        <w:rFonts w:hint="default"/>
        <w:lang w:val="en-US" w:eastAsia="en-US" w:bidi="en-US"/>
      </w:rPr>
    </w:lvl>
    <w:lvl w:ilvl="3" w:tplc="1090C88A">
      <w:numFmt w:val="bullet"/>
      <w:lvlText w:val="•"/>
      <w:lvlJc w:val="left"/>
      <w:pPr>
        <w:ind w:left="3861" w:hanging="537"/>
      </w:pPr>
      <w:rPr>
        <w:rFonts w:hint="default"/>
        <w:lang w:val="en-US" w:eastAsia="en-US" w:bidi="en-US"/>
      </w:rPr>
    </w:lvl>
    <w:lvl w:ilvl="4" w:tplc="EC809732">
      <w:numFmt w:val="bullet"/>
      <w:lvlText w:val="•"/>
      <w:lvlJc w:val="left"/>
      <w:pPr>
        <w:ind w:left="4662" w:hanging="537"/>
      </w:pPr>
      <w:rPr>
        <w:rFonts w:hint="default"/>
        <w:lang w:val="en-US" w:eastAsia="en-US" w:bidi="en-US"/>
      </w:rPr>
    </w:lvl>
    <w:lvl w:ilvl="5" w:tplc="C7520D86">
      <w:numFmt w:val="bullet"/>
      <w:lvlText w:val="•"/>
      <w:lvlJc w:val="left"/>
      <w:pPr>
        <w:ind w:left="5463" w:hanging="537"/>
      </w:pPr>
      <w:rPr>
        <w:rFonts w:hint="default"/>
        <w:lang w:val="en-US" w:eastAsia="en-US" w:bidi="en-US"/>
      </w:rPr>
    </w:lvl>
    <w:lvl w:ilvl="6" w:tplc="0B446A0E">
      <w:numFmt w:val="bullet"/>
      <w:lvlText w:val="•"/>
      <w:lvlJc w:val="left"/>
      <w:pPr>
        <w:ind w:left="6263" w:hanging="537"/>
      </w:pPr>
      <w:rPr>
        <w:rFonts w:hint="default"/>
        <w:lang w:val="en-US" w:eastAsia="en-US" w:bidi="en-US"/>
      </w:rPr>
    </w:lvl>
    <w:lvl w:ilvl="7" w:tplc="0BC618EA">
      <w:numFmt w:val="bullet"/>
      <w:lvlText w:val="•"/>
      <w:lvlJc w:val="left"/>
      <w:pPr>
        <w:ind w:left="7064" w:hanging="537"/>
      </w:pPr>
      <w:rPr>
        <w:rFonts w:hint="default"/>
        <w:lang w:val="en-US" w:eastAsia="en-US" w:bidi="en-US"/>
      </w:rPr>
    </w:lvl>
    <w:lvl w:ilvl="8" w:tplc="2E6E984C">
      <w:numFmt w:val="bullet"/>
      <w:lvlText w:val="•"/>
      <w:lvlJc w:val="left"/>
      <w:pPr>
        <w:ind w:left="7865" w:hanging="537"/>
      </w:pPr>
      <w:rPr>
        <w:rFonts w:hint="default"/>
        <w:lang w:val="en-US" w:eastAsia="en-US" w:bidi="en-US"/>
      </w:rPr>
    </w:lvl>
  </w:abstractNum>
  <w:abstractNum w:abstractNumId="1" w15:restartNumberingAfterBreak="0">
    <w:nsid w:val="1C354138"/>
    <w:multiLevelType w:val="multilevel"/>
    <w:tmpl w:val="F9DCFBF4"/>
    <w:lvl w:ilvl="0">
      <w:start w:val="5"/>
      <w:numFmt w:val="decimal"/>
      <w:lvlText w:val="%1"/>
      <w:lvlJc w:val="left"/>
      <w:pPr>
        <w:ind w:left="220" w:hanging="636"/>
        <w:jc w:val="left"/>
      </w:pPr>
      <w:rPr>
        <w:rFonts w:hint="default"/>
        <w:lang w:val="en-US" w:eastAsia="en-US" w:bidi="en-US"/>
      </w:rPr>
    </w:lvl>
    <w:lvl w:ilvl="1">
      <w:numFmt w:val="decimal"/>
      <w:lvlText w:val="%1.%2"/>
      <w:lvlJc w:val="left"/>
      <w:pPr>
        <w:ind w:left="220" w:hanging="636"/>
        <w:jc w:val="left"/>
      </w:pPr>
      <w:rPr>
        <w:rFonts w:hint="default"/>
        <w:b/>
        <w:bCs/>
        <w:spacing w:val="-3"/>
        <w:w w:val="100"/>
        <w:lang w:val="en-US" w:eastAsia="en-US" w:bidi="en-US"/>
      </w:rPr>
    </w:lvl>
    <w:lvl w:ilvl="2">
      <w:numFmt w:val="bullet"/>
      <w:lvlText w:val="•"/>
      <w:lvlJc w:val="left"/>
      <w:pPr>
        <w:ind w:left="2069" w:hanging="636"/>
      </w:pPr>
      <w:rPr>
        <w:rFonts w:hint="default"/>
        <w:lang w:val="en-US" w:eastAsia="en-US" w:bidi="en-US"/>
      </w:rPr>
    </w:lvl>
    <w:lvl w:ilvl="3">
      <w:numFmt w:val="bullet"/>
      <w:lvlText w:val="•"/>
      <w:lvlJc w:val="left"/>
      <w:pPr>
        <w:ind w:left="2993" w:hanging="636"/>
      </w:pPr>
      <w:rPr>
        <w:rFonts w:hint="default"/>
        <w:lang w:val="en-US" w:eastAsia="en-US" w:bidi="en-US"/>
      </w:rPr>
    </w:lvl>
    <w:lvl w:ilvl="4">
      <w:numFmt w:val="bullet"/>
      <w:lvlText w:val="•"/>
      <w:lvlJc w:val="left"/>
      <w:pPr>
        <w:ind w:left="3918" w:hanging="636"/>
      </w:pPr>
      <w:rPr>
        <w:rFonts w:hint="default"/>
        <w:lang w:val="en-US" w:eastAsia="en-US" w:bidi="en-US"/>
      </w:rPr>
    </w:lvl>
    <w:lvl w:ilvl="5">
      <w:numFmt w:val="bullet"/>
      <w:lvlText w:val="•"/>
      <w:lvlJc w:val="left"/>
      <w:pPr>
        <w:ind w:left="4843" w:hanging="636"/>
      </w:pPr>
      <w:rPr>
        <w:rFonts w:hint="default"/>
        <w:lang w:val="en-US" w:eastAsia="en-US" w:bidi="en-US"/>
      </w:rPr>
    </w:lvl>
    <w:lvl w:ilvl="6">
      <w:numFmt w:val="bullet"/>
      <w:lvlText w:val="•"/>
      <w:lvlJc w:val="left"/>
      <w:pPr>
        <w:ind w:left="5767" w:hanging="636"/>
      </w:pPr>
      <w:rPr>
        <w:rFonts w:hint="default"/>
        <w:lang w:val="en-US" w:eastAsia="en-US" w:bidi="en-US"/>
      </w:rPr>
    </w:lvl>
    <w:lvl w:ilvl="7">
      <w:numFmt w:val="bullet"/>
      <w:lvlText w:val="•"/>
      <w:lvlJc w:val="left"/>
      <w:pPr>
        <w:ind w:left="6692" w:hanging="636"/>
      </w:pPr>
      <w:rPr>
        <w:rFonts w:hint="default"/>
        <w:lang w:val="en-US" w:eastAsia="en-US" w:bidi="en-US"/>
      </w:rPr>
    </w:lvl>
    <w:lvl w:ilvl="8">
      <w:numFmt w:val="bullet"/>
      <w:lvlText w:val="•"/>
      <w:lvlJc w:val="left"/>
      <w:pPr>
        <w:ind w:left="7617" w:hanging="636"/>
      </w:pPr>
      <w:rPr>
        <w:rFonts w:hint="default"/>
        <w:lang w:val="en-US" w:eastAsia="en-US" w:bidi="en-US"/>
      </w:rPr>
    </w:lvl>
  </w:abstractNum>
  <w:abstractNum w:abstractNumId="2" w15:restartNumberingAfterBreak="0">
    <w:nsid w:val="1D4A58C9"/>
    <w:multiLevelType w:val="multilevel"/>
    <w:tmpl w:val="563C937C"/>
    <w:lvl w:ilvl="0">
      <w:start w:val="6"/>
      <w:numFmt w:val="decimal"/>
      <w:lvlText w:val="%1"/>
      <w:lvlJc w:val="left"/>
      <w:pPr>
        <w:ind w:left="220" w:hanging="581"/>
        <w:jc w:val="left"/>
      </w:pPr>
      <w:rPr>
        <w:rFonts w:hint="default"/>
        <w:lang w:val="en-US" w:eastAsia="en-US" w:bidi="en-US"/>
      </w:rPr>
    </w:lvl>
    <w:lvl w:ilvl="1">
      <w:numFmt w:val="decimal"/>
      <w:lvlText w:val="%1.%2"/>
      <w:lvlJc w:val="left"/>
      <w:pPr>
        <w:ind w:left="220" w:hanging="581"/>
        <w:jc w:val="left"/>
      </w:pPr>
      <w:rPr>
        <w:rFonts w:hint="default"/>
        <w:b/>
        <w:bCs/>
        <w:spacing w:val="-3"/>
        <w:w w:val="100"/>
        <w:lang w:val="en-US" w:eastAsia="en-US" w:bidi="en-US"/>
      </w:rPr>
    </w:lvl>
    <w:lvl w:ilvl="2">
      <w:numFmt w:val="bullet"/>
      <w:lvlText w:val="•"/>
      <w:lvlJc w:val="left"/>
      <w:pPr>
        <w:ind w:left="2069" w:hanging="581"/>
      </w:pPr>
      <w:rPr>
        <w:rFonts w:hint="default"/>
        <w:lang w:val="en-US" w:eastAsia="en-US" w:bidi="en-US"/>
      </w:rPr>
    </w:lvl>
    <w:lvl w:ilvl="3">
      <w:numFmt w:val="bullet"/>
      <w:lvlText w:val="•"/>
      <w:lvlJc w:val="left"/>
      <w:pPr>
        <w:ind w:left="2993" w:hanging="581"/>
      </w:pPr>
      <w:rPr>
        <w:rFonts w:hint="default"/>
        <w:lang w:val="en-US" w:eastAsia="en-US" w:bidi="en-US"/>
      </w:rPr>
    </w:lvl>
    <w:lvl w:ilvl="4">
      <w:numFmt w:val="bullet"/>
      <w:lvlText w:val="•"/>
      <w:lvlJc w:val="left"/>
      <w:pPr>
        <w:ind w:left="3918" w:hanging="581"/>
      </w:pPr>
      <w:rPr>
        <w:rFonts w:hint="default"/>
        <w:lang w:val="en-US" w:eastAsia="en-US" w:bidi="en-US"/>
      </w:rPr>
    </w:lvl>
    <w:lvl w:ilvl="5">
      <w:numFmt w:val="bullet"/>
      <w:lvlText w:val="•"/>
      <w:lvlJc w:val="left"/>
      <w:pPr>
        <w:ind w:left="4843" w:hanging="581"/>
      </w:pPr>
      <w:rPr>
        <w:rFonts w:hint="default"/>
        <w:lang w:val="en-US" w:eastAsia="en-US" w:bidi="en-US"/>
      </w:rPr>
    </w:lvl>
    <w:lvl w:ilvl="6">
      <w:numFmt w:val="bullet"/>
      <w:lvlText w:val="•"/>
      <w:lvlJc w:val="left"/>
      <w:pPr>
        <w:ind w:left="5767" w:hanging="581"/>
      </w:pPr>
      <w:rPr>
        <w:rFonts w:hint="default"/>
        <w:lang w:val="en-US" w:eastAsia="en-US" w:bidi="en-US"/>
      </w:rPr>
    </w:lvl>
    <w:lvl w:ilvl="7">
      <w:numFmt w:val="bullet"/>
      <w:lvlText w:val="•"/>
      <w:lvlJc w:val="left"/>
      <w:pPr>
        <w:ind w:left="6692" w:hanging="581"/>
      </w:pPr>
      <w:rPr>
        <w:rFonts w:hint="default"/>
        <w:lang w:val="en-US" w:eastAsia="en-US" w:bidi="en-US"/>
      </w:rPr>
    </w:lvl>
    <w:lvl w:ilvl="8">
      <w:numFmt w:val="bullet"/>
      <w:lvlText w:val="•"/>
      <w:lvlJc w:val="left"/>
      <w:pPr>
        <w:ind w:left="7617" w:hanging="581"/>
      </w:pPr>
      <w:rPr>
        <w:rFonts w:hint="default"/>
        <w:lang w:val="en-US" w:eastAsia="en-US" w:bidi="en-US"/>
      </w:rPr>
    </w:lvl>
  </w:abstractNum>
  <w:abstractNum w:abstractNumId="3" w15:restartNumberingAfterBreak="0">
    <w:nsid w:val="1D6C6202"/>
    <w:multiLevelType w:val="multilevel"/>
    <w:tmpl w:val="5F5EF8CE"/>
    <w:lvl w:ilvl="0">
      <w:start w:val="4"/>
      <w:numFmt w:val="decimal"/>
      <w:lvlText w:val="%1"/>
      <w:lvlJc w:val="left"/>
      <w:pPr>
        <w:ind w:left="220" w:hanging="670"/>
        <w:jc w:val="left"/>
      </w:pPr>
      <w:rPr>
        <w:rFonts w:hint="default"/>
        <w:lang w:val="en-US" w:eastAsia="en-US" w:bidi="en-US"/>
      </w:rPr>
    </w:lvl>
    <w:lvl w:ilvl="1">
      <w:numFmt w:val="decimal"/>
      <w:lvlText w:val="%1.%2"/>
      <w:lvlJc w:val="left"/>
      <w:pPr>
        <w:ind w:left="220" w:hanging="670"/>
        <w:jc w:val="left"/>
      </w:pPr>
      <w:rPr>
        <w:rFonts w:hint="default"/>
        <w:b/>
        <w:bCs/>
        <w:spacing w:val="-2"/>
        <w:w w:val="100"/>
        <w:lang w:val="en-US" w:eastAsia="en-US" w:bidi="en-US"/>
      </w:rPr>
    </w:lvl>
    <w:lvl w:ilvl="2">
      <w:numFmt w:val="bullet"/>
      <w:lvlText w:val="•"/>
      <w:lvlJc w:val="left"/>
      <w:pPr>
        <w:ind w:left="2069" w:hanging="670"/>
      </w:pPr>
      <w:rPr>
        <w:rFonts w:hint="default"/>
        <w:lang w:val="en-US" w:eastAsia="en-US" w:bidi="en-US"/>
      </w:rPr>
    </w:lvl>
    <w:lvl w:ilvl="3">
      <w:numFmt w:val="bullet"/>
      <w:lvlText w:val="•"/>
      <w:lvlJc w:val="left"/>
      <w:pPr>
        <w:ind w:left="2993" w:hanging="670"/>
      </w:pPr>
      <w:rPr>
        <w:rFonts w:hint="default"/>
        <w:lang w:val="en-US" w:eastAsia="en-US" w:bidi="en-US"/>
      </w:rPr>
    </w:lvl>
    <w:lvl w:ilvl="4">
      <w:numFmt w:val="bullet"/>
      <w:lvlText w:val="•"/>
      <w:lvlJc w:val="left"/>
      <w:pPr>
        <w:ind w:left="3918" w:hanging="670"/>
      </w:pPr>
      <w:rPr>
        <w:rFonts w:hint="default"/>
        <w:lang w:val="en-US" w:eastAsia="en-US" w:bidi="en-US"/>
      </w:rPr>
    </w:lvl>
    <w:lvl w:ilvl="5">
      <w:numFmt w:val="bullet"/>
      <w:lvlText w:val="•"/>
      <w:lvlJc w:val="left"/>
      <w:pPr>
        <w:ind w:left="4843" w:hanging="670"/>
      </w:pPr>
      <w:rPr>
        <w:rFonts w:hint="default"/>
        <w:lang w:val="en-US" w:eastAsia="en-US" w:bidi="en-US"/>
      </w:rPr>
    </w:lvl>
    <w:lvl w:ilvl="6">
      <w:numFmt w:val="bullet"/>
      <w:lvlText w:val="•"/>
      <w:lvlJc w:val="left"/>
      <w:pPr>
        <w:ind w:left="5767" w:hanging="670"/>
      </w:pPr>
      <w:rPr>
        <w:rFonts w:hint="default"/>
        <w:lang w:val="en-US" w:eastAsia="en-US" w:bidi="en-US"/>
      </w:rPr>
    </w:lvl>
    <w:lvl w:ilvl="7">
      <w:numFmt w:val="bullet"/>
      <w:lvlText w:val="•"/>
      <w:lvlJc w:val="left"/>
      <w:pPr>
        <w:ind w:left="6692" w:hanging="670"/>
      </w:pPr>
      <w:rPr>
        <w:rFonts w:hint="default"/>
        <w:lang w:val="en-US" w:eastAsia="en-US" w:bidi="en-US"/>
      </w:rPr>
    </w:lvl>
    <w:lvl w:ilvl="8">
      <w:numFmt w:val="bullet"/>
      <w:lvlText w:val="•"/>
      <w:lvlJc w:val="left"/>
      <w:pPr>
        <w:ind w:left="7617" w:hanging="670"/>
      </w:pPr>
      <w:rPr>
        <w:rFonts w:hint="default"/>
        <w:lang w:val="en-US" w:eastAsia="en-US" w:bidi="en-US"/>
      </w:rPr>
    </w:lvl>
  </w:abstractNum>
  <w:abstractNum w:abstractNumId="4" w15:restartNumberingAfterBreak="0">
    <w:nsid w:val="1F7B68EE"/>
    <w:multiLevelType w:val="hybridMultilevel"/>
    <w:tmpl w:val="69B6FFD8"/>
    <w:lvl w:ilvl="0" w:tplc="8500D31A">
      <w:start w:val="2"/>
      <w:numFmt w:val="decimal"/>
      <w:lvlText w:val="%1."/>
      <w:lvlJc w:val="left"/>
      <w:pPr>
        <w:ind w:left="220" w:hanging="720"/>
        <w:jc w:val="right"/>
      </w:pPr>
      <w:rPr>
        <w:rFonts w:hint="default"/>
        <w:spacing w:val="-26"/>
        <w:w w:val="100"/>
        <w:lang w:val="en-US" w:eastAsia="en-US" w:bidi="en-US"/>
      </w:rPr>
    </w:lvl>
    <w:lvl w:ilvl="1" w:tplc="142ADBF0">
      <w:start w:val="1"/>
      <w:numFmt w:val="lowerRoman"/>
      <w:lvlText w:val="%2."/>
      <w:lvlJc w:val="left"/>
      <w:pPr>
        <w:ind w:left="2007" w:hanging="356"/>
        <w:jc w:val="right"/>
      </w:pPr>
      <w:rPr>
        <w:rFonts w:ascii="Arial" w:eastAsia="Arial" w:hAnsi="Arial" w:cs="Arial" w:hint="default"/>
        <w:color w:val="3D3D3D"/>
        <w:spacing w:val="-1"/>
        <w:w w:val="107"/>
        <w:sz w:val="16"/>
        <w:szCs w:val="16"/>
        <w:lang w:val="en-US" w:eastAsia="en-US" w:bidi="en-US"/>
      </w:rPr>
    </w:lvl>
    <w:lvl w:ilvl="2" w:tplc="1CB4AD60">
      <w:numFmt w:val="bullet"/>
      <w:lvlText w:val="•"/>
      <w:lvlJc w:val="left"/>
      <w:pPr>
        <w:ind w:left="2829" w:hanging="356"/>
      </w:pPr>
      <w:rPr>
        <w:rFonts w:hint="default"/>
        <w:lang w:val="en-US" w:eastAsia="en-US" w:bidi="en-US"/>
      </w:rPr>
    </w:lvl>
    <w:lvl w:ilvl="3" w:tplc="EF9A73BA">
      <w:numFmt w:val="bullet"/>
      <w:lvlText w:val="•"/>
      <w:lvlJc w:val="left"/>
      <w:pPr>
        <w:ind w:left="3659" w:hanging="356"/>
      </w:pPr>
      <w:rPr>
        <w:rFonts w:hint="default"/>
        <w:lang w:val="en-US" w:eastAsia="en-US" w:bidi="en-US"/>
      </w:rPr>
    </w:lvl>
    <w:lvl w:ilvl="4" w:tplc="18C22E1A">
      <w:numFmt w:val="bullet"/>
      <w:lvlText w:val="•"/>
      <w:lvlJc w:val="left"/>
      <w:pPr>
        <w:ind w:left="4488" w:hanging="356"/>
      </w:pPr>
      <w:rPr>
        <w:rFonts w:hint="default"/>
        <w:lang w:val="en-US" w:eastAsia="en-US" w:bidi="en-US"/>
      </w:rPr>
    </w:lvl>
    <w:lvl w:ilvl="5" w:tplc="07EC3CC0">
      <w:numFmt w:val="bullet"/>
      <w:lvlText w:val="•"/>
      <w:lvlJc w:val="left"/>
      <w:pPr>
        <w:ind w:left="5318" w:hanging="356"/>
      </w:pPr>
      <w:rPr>
        <w:rFonts w:hint="default"/>
        <w:lang w:val="en-US" w:eastAsia="en-US" w:bidi="en-US"/>
      </w:rPr>
    </w:lvl>
    <w:lvl w:ilvl="6" w:tplc="EF2AA268">
      <w:numFmt w:val="bullet"/>
      <w:lvlText w:val="•"/>
      <w:lvlJc w:val="left"/>
      <w:pPr>
        <w:ind w:left="6148" w:hanging="356"/>
      </w:pPr>
      <w:rPr>
        <w:rFonts w:hint="default"/>
        <w:lang w:val="en-US" w:eastAsia="en-US" w:bidi="en-US"/>
      </w:rPr>
    </w:lvl>
    <w:lvl w:ilvl="7" w:tplc="EAD20FD0">
      <w:numFmt w:val="bullet"/>
      <w:lvlText w:val="•"/>
      <w:lvlJc w:val="left"/>
      <w:pPr>
        <w:ind w:left="6977" w:hanging="356"/>
      </w:pPr>
      <w:rPr>
        <w:rFonts w:hint="default"/>
        <w:lang w:val="en-US" w:eastAsia="en-US" w:bidi="en-US"/>
      </w:rPr>
    </w:lvl>
    <w:lvl w:ilvl="8" w:tplc="EA6A8940">
      <w:numFmt w:val="bullet"/>
      <w:lvlText w:val="•"/>
      <w:lvlJc w:val="left"/>
      <w:pPr>
        <w:ind w:left="7807" w:hanging="356"/>
      </w:pPr>
      <w:rPr>
        <w:rFonts w:hint="default"/>
        <w:lang w:val="en-US" w:eastAsia="en-US" w:bidi="en-US"/>
      </w:rPr>
    </w:lvl>
  </w:abstractNum>
  <w:abstractNum w:abstractNumId="5" w15:restartNumberingAfterBreak="0">
    <w:nsid w:val="310E34E5"/>
    <w:multiLevelType w:val="multilevel"/>
    <w:tmpl w:val="8C3AF50A"/>
    <w:lvl w:ilvl="0">
      <w:start w:val="3"/>
      <w:numFmt w:val="decimal"/>
      <w:lvlText w:val="%1"/>
      <w:lvlJc w:val="left"/>
      <w:pPr>
        <w:ind w:left="220" w:hanging="720"/>
        <w:jc w:val="left"/>
      </w:pPr>
      <w:rPr>
        <w:rFonts w:hint="default"/>
        <w:lang w:val="en-US" w:eastAsia="en-US" w:bidi="en-US"/>
      </w:rPr>
    </w:lvl>
    <w:lvl w:ilvl="1">
      <w:numFmt w:val="decimal"/>
      <w:lvlText w:val="%1.%2"/>
      <w:lvlJc w:val="left"/>
      <w:pPr>
        <w:ind w:left="220" w:hanging="720"/>
        <w:jc w:val="left"/>
      </w:pPr>
      <w:rPr>
        <w:rFonts w:hint="default"/>
        <w:b/>
        <w:bCs/>
        <w:spacing w:val="-3"/>
        <w:w w:val="100"/>
        <w:lang w:val="en-US" w:eastAsia="en-US" w:bidi="en-US"/>
      </w:rPr>
    </w:lvl>
    <w:lvl w:ilvl="2">
      <w:start w:val="1"/>
      <w:numFmt w:val="decimal"/>
      <w:lvlText w:val="%1.%2.%3"/>
      <w:lvlJc w:val="left"/>
      <w:pPr>
        <w:ind w:left="220" w:hanging="720"/>
        <w:jc w:val="left"/>
      </w:pPr>
      <w:rPr>
        <w:rFonts w:ascii="Calibri" w:eastAsia="Calibri" w:hAnsi="Calibri" w:cs="Calibri" w:hint="default"/>
        <w:spacing w:val="-28"/>
        <w:w w:val="100"/>
        <w:sz w:val="24"/>
        <w:szCs w:val="24"/>
        <w:lang w:val="en-US" w:eastAsia="en-US" w:bidi="en-US"/>
      </w:rPr>
    </w:lvl>
    <w:lvl w:ilvl="3">
      <w:start w:val="1"/>
      <w:numFmt w:val="lowerLetter"/>
      <w:lvlText w:val="(%4)"/>
      <w:lvlJc w:val="left"/>
      <w:pPr>
        <w:ind w:left="940" w:hanging="360"/>
        <w:jc w:val="left"/>
      </w:pPr>
      <w:rPr>
        <w:rFonts w:ascii="Calibri" w:eastAsia="Calibri" w:hAnsi="Calibri" w:cs="Calibri" w:hint="default"/>
        <w:spacing w:val="-24"/>
        <w:w w:val="100"/>
        <w:sz w:val="24"/>
        <w:szCs w:val="24"/>
        <w:lang w:val="en-US" w:eastAsia="en-US" w:bidi="en-US"/>
      </w:rPr>
    </w:lvl>
    <w:lvl w:ilvl="4">
      <w:numFmt w:val="bullet"/>
      <w:lvlText w:val="•"/>
      <w:lvlJc w:val="left"/>
      <w:pPr>
        <w:ind w:left="3782" w:hanging="360"/>
      </w:pPr>
      <w:rPr>
        <w:rFonts w:hint="default"/>
        <w:lang w:val="en-US" w:eastAsia="en-US" w:bidi="en-US"/>
      </w:rPr>
    </w:lvl>
    <w:lvl w:ilvl="5">
      <w:numFmt w:val="bullet"/>
      <w:lvlText w:val="•"/>
      <w:lvlJc w:val="left"/>
      <w:pPr>
        <w:ind w:left="4729" w:hanging="360"/>
      </w:pPr>
      <w:rPr>
        <w:rFonts w:hint="default"/>
        <w:lang w:val="en-US" w:eastAsia="en-US" w:bidi="en-US"/>
      </w:rPr>
    </w:lvl>
    <w:lvl w:ilvl="6">
      <w:numFmt w:val="bullet"/>
      <w:lvlText w:val="•"/>
      <w:lvlJc w:val="left"/>
      <w:pPr>
        <w:ind w:left="5676" w:hanging="360"/>
      </w:pPr>
      <w:rPr>
        <w:rFonts w:hint="default"/>
        <w:lang w:val="en-US" w:eastAsia="en-US" w:bidi="en-US"/>
      </w:rPr>
    </w:lvl>
    <w:lvl w:ilvl="7">
      <w:numFmt w:val="bullet"/>
      <w:lvlText w:val="•"/>
      <w:lvlJc w:val="left"/>
      <w:pPr>
        <w:ind w:left="6624" w:hanging="360"/>
      </w:pPr>
      <w:rPr>
        <w:rFonts w:hint="default"/>
        <w:lang w:val="en-US" w:eastAsia="en-US" w:bidi="en-US"/>
      </w:rPr>
    </w:lvl>
    <w:lvl w:ilvl="8">
      <w:numFmt w:val="bullet"/>
      <w:lvlText w:val="•"/>
      <w:lvlJc w:val="left"/>
      <w:pPr>
        <w:ind w:left="7571" w:hanging="360"/>
      </w:pPr>
      <w:rPr>
        <w:rFonts w:hint="default"/>
        <w:lang w:val="en-US" w:eastAsia="en-US" w:bidi="en-US"/>
      </w:rPr>
    </w:lvl>
  </w:abstractNum>
  <w:abstractNum w:abstractNumId="6" w15:restartNumberingAfterBreak="0">
    <w:nsid w:val="51B54BAA"/>
    <w:multiLevelType w:val="multilevel"/>
    <w:tmpl w:val="4894C988"/>
    <w:lvl w:ilvl="0">
      <w:start w:val="2"/>
      <w:numFmt w:val="decimal"/>
      <w:lvlText w:val="%1"/>
      <w:lvlJc w:val="left"/>
      <w:pPr>
        <w:ind w:left="220" w:hanging="720"/>
        <w:jc w:val="left"/>
      </w:pPr>
      <w:rPr>
        <w:rFonts w:hint="default"/>
        <w:lang w:val="en-US" w:eastAsia="en-US" w:bidi="en-US"/>
      </w:rPr>
    </w:lvl>
    <w:lvl w:ilvl="1">
      <w:numFmt w:val="decimal"/>
      <w:lvlText w:val="%1.%2"/>
      <w:lvlJc w:val="left"/>
      <w:pPr>
        <w:ind w:left="220" w:hanging="720"/>
        <w:jc w:val="left"/>
      </w:pPr>
      <w:rPr>
        <w:rFonts w:hint="default"/>
        <w:b/>
        <w:bCs/>
        <w:spacing w:val="-3"/>
        <w:w w:val="100"/>
        <w:lang w:val="en-US" w:eastAsia="en-US" w:bidi="en-US"/>
      </w:rPr>
    </w:lvl>
    <w:lvl w:ilvl="2">
      <w:start w:val="1"/>
      <w:numFmt w:val="lowerLetter"/>
      <w:lvlText w:val="%3)"/>
      <w:lvlJc w:val="left"/>
      <w:pPr>
        <w:ind w:left="940" w:hanging="360"/>
        <w:jc w:val="left"/>
      </w:pPr>
      <w:rPr>
        <w:rFonts w:ascii="Calibri" w:eastAsia="Calibri" w:hAnsi="Calibri" w:cs="Calibri" w:hint="default"/>
        <w:spacing w:val="-23"/>
        <w:w w:val="100"/>
        <w:sz w:val="24"/>
        <w:szCs w:val="24"/>
        <w:lang w:val="en-US" w:eastAsia="en-US" w:bidi="en-US"/>
      </w:rPr>
    </w:lvl>
    <w:lvl w:ilvl="3">
      <w:numFmt w:val="bullet"/>
      <w:lvlText w:val="•"/>
      <w:lvlJc w:val="left"/>
      <w:pPr>
        <w:ind w:left="2834" w:hanging="360"/>
      </w:pPr>
      <w:rPr>
        <w:rFonts w:hint="default"/>
        <w:lang w:val="en-US" w:eastAsia="en-US" w:bidi="en-US"/>
      </w:rPr>
    </w:lvl>
    <w:lvl w:ilvl="4">
      <w:numFmt w:val="bullet"/>
      <w:lvlText w:val="•"/>
      <w:lvlJc w:val="left"/>
      <w:pPr>
        <w:ind w:left="3782" w:hanging="360"/>
      </w:pPr>
      <w:rPr>
        <w:rFonts w:hint="default"/>
        <w:lang w:val="en-US" w:eastAsia="en-US" w:bidi="en-US"/>
      </w:rPr>
    </w:lvl>
    <w:lvl w:ilvl="5">
      <w:numFmt w:val="bullet"/>
      <w:lvlText w:val="•"/>
      <w:lvlJc w:val="left"/>
      <w:pPr>
        <w:ind w:left="4729" w:hanging="360"/>
      </w:pPr>
      <w:rPr>
        <w:rFonts w:hint="default"/>
        <w:lang w:val="en-US" w:eastAsia="en-US" w:bidi="en-US"/>
      </w:rPr>
    </w:lvl>
    <w:lvl w:ilvl="6">
      <w:numFmt w:val="bullet"/>
      <w:lvlText w:val="•"/>
      <w:lvlJc w:val="left"/>
      <w:pPr>
        <w:ind w:left="5676" w:hanging="360"/>
      </w:pPr>
      <w:rPr>
        <w:rFonts w:hint="default"/>
        <w:lang w:val="en-US" w:eastAsia="en-US" w:bidi="en-US"/>
      </w:rPr>
    </w:lvl>
    <w:lvl w:ilvl="7">
      <w:numFmt w:val="bullet"/>
      <w:lvlText w:val="•"/>
      <w:lvlJc w:val="left"/>
      <w:pPr>
        <w:ind w:left="6624" w:hanging="360"/>
      </w:pPr>
      <w:rPr>
        <w:rFonts w:hint="default"/>
        <w:lang w:val="en-US" w:eastAsia="en-US" w:bidi="en-US"/>
      </w:rPr>
    </w:lvl>
    <w:lvl w:ilvl="8">
      <w:numFmt w:val="bullet"/>
      <w:lvlText w:val="•"/>
      <w:lvlJc w:val="left"/>
      <w:pPr>
        <w:ind w:left="7571" w:hanging="360"/>
      </w:pPr>
      <w:rPr>
        <w:rFonts w:hint="default"/>
        <w:lang w:val="en-US" w:eastAsia="en-US" w:bidi="en-US"/>
      </w:rPr>
    </w:lvl>
  </w:abstractNum>
  <w:abstractNum w:abstractNumId="7" w15:restartNumberingAfterBreak="0">
    <w:nsid w:val="56041E76"/>
    <w:multiLevelType w:val="multilevel"/>
    <w:tmpl w:val="0D54C284"/>
    <w:lvl w:ilvl="0">
      <w:start w:val="1"/>
      <w:numFmt w:val="decimal"/>
      <w:lvlText w:val="%1"/>
      <w:lvlJc w:val="left"/>
      <w:pPr>
        <w:ind w:left="940" w:hanging="720"/>
        <w:jc w:val="left"/>
      </w:pPr>
      <w:rPr>
        <w:rFonts w:hint="default"/>
        <w:lang w:val="en-US" w:eastAsia="en-US" w:bidi="en-US"/>
      </w:rPr>
    </w:lvl>
    <w:lvl w:ilvl="1">
      <w:numFmt w:val="decimal"/>
      <w:lvlText w:val="%1.%2"/>
      <w:lvlJc w:val="left"/>
      <w:pPr>
        <w:ind w:left="940" w:hanging="720"/>
        <w:jc w:val="left"/>
      </w:pPr>
      <w:rPr>
        <w:rFonts w:ascii="Calibri" w:eastAsia="Calibri" w:hAnsi="Calibri" w:cs="Calibri" w:hint="default"/>
        <w:b/>
        <w:bCs/>
        <w:spacing w:val="-3"/>
        <w:w w:val="100"/>
        <w:sz w:val="24"/>
        <w:szCs w:val="24"/>
        <w:lang w:val="en-US" w:eastAsia="en-US" w:bidi="en-US"/>
      </w:rPr>
    </w:lvl>
    <w:lvl w:ilvl="2">
      <w:start w:val="1"/>
      <w:numFmt w:val="decimal"/>
      <w:lvlText w:val="%1.%2.%3"/>
      <w:lvlJc w:val="left"/>
      <w:pPr>
        <w:ind w:left="220" w:hanging="720"/>
        <w:jc w:val="left"/>
      </w:pPr>
      <w:rPr>
        <w:rFonts w:ascii="Calibri" w:eastAsia="Calibri" w:hAnsi="Calibri" w:cs="Calibri" w:hint="default"/>
        <w:spacing w:val="-27"/>
        <w:w w:val="97"/>
        <w:sz w:val="24"/>
        <w:szCs w:val="24"/>
        <w:lang w:val="en-US" w:eastAsia="en-US" w:bidi="en-US"/>
      </w:rPr>
    </w:lvl>
    <w:lvl w:ilvl="3">
      <w:numFmt w:val="bullet"/>
      <w:lvlText w:val="•"/>
      <w:lvlJc w:val="left"/>
      <w:pPr>
        <w:ind w:left="2834" w:hanging="720"/>
      </w:pPr>
      <w:rPr>
        <w:rFonts w:hint="default"/>
        <w:lang w:val="en-US" w:eastAsia="en-US" w:bidi="en-US"/>
      </w:rPr>
    </w:lvl>
    <w:lvl w:ilvl="4">
      <w:numFmt w:val="bullet"/>
      <w:lvlText w:val="•"/>
      <w:lvlJc w:val="left"/>
      <w:pPr>
        <w:ind w:left="3782" w:hanging="720"/>
      </w:pPr>
      <w:rPr>
        <w:rFonts w:hint="default"/>
        <w:lang w:val="en-US" w:eastAsia="en-US" w:bidi="en-US"/>
      </w:rPr>
    </w:lvl>
    <w:lvl w:ilvl="5">
      <w:numFmt w:val="bullet"/>
      <w:lvlText w:val="•"/>
      <w:lvlJc w:val="left"/>
      <w:pPr>
        <w:ind w:left="4729" w:hanging="720"/>
      </w:pPr>
      <w:rPr>
        <w:rFonts w:hint="default"/>
        <w:lang w:val="en-US" w:eastAsia="en-US" w:bidi="en-US"/>
      </w:rPr>
    </w:lvl>
    <w:lvl w:ilvl="6">
      <w:numFmt w:val="bullet"/>
      <w:lvlText w:val="•"/>
      <w:lvlJc w:val="left"/>
      <w:pPr>
        <w:ind w:left="5676" w:hanging="720"/>
      </w:pPr>
      <w:rPr>
        <w:rFonts w:hint="default"/>
        <w:lang w:val="en-US" w:eastAsia="en-US" w:bidi="en-US"/>
      </w:rPr>
    </w:lvl>
    <w:lvl w:ilvl="7">
      <w:numFmt w:val="bullet"/>
      <w:lvlText w:val="•"/>
      <w:lvlJc w:val="left"/>
      <w:pPr>
        <w:ind w:left="6624" w:hanging="720"/>
      </w:pPr>
      <w:rPr>
        <w:rFonts w:hint="default"/>
        <w:lang w:val="en-US" w:eastAsia="en-US" w:bidi="en-US"/>
      </w:rPr>
    </w:lvl>
    <w:lvl w:ilvl="8">
      <w:numFmt w:val="bullet"/>
      <w:lvlText w:val="•"/>
      <w:lvlJc w:val="left"/>
      <w:pPr>
        <w:ind w:left="7571" w:hanging="720"/>
      </w:pPr>
      <w:rPr>
        <w:rFonts w:hint="default"/>
        <w:lang w:val="en-US" w:eastAsia="en-US" w:bidi="en-US"/>
      </w:rPr>
    </w:lvl>
  </w:abstractNum>
  <w:abstractNum w:abstractNumId="8" w15:restartNumberingAfterBreak="0">
    <w:nsid w:val="5F7A105C"/>
    <w:multiLevelType w:val="hybridMultilevel"/>
    <w:tmpl w:val="92B8255E"/>
    <w:lvl w:ilvl="0" w:tplc="128A86AC">
      <w:start w:val="1"/>
      <w:numFmt w:val="lowerLetter"/>
      <w:lvlText w:val="%1)"/>
      <w:lvlJc w:val="left"/>
      <w:pPr>
        <w:ind w:left="1300" w:hanging="360"/>
        <w:jc w:val="left"/>
      </w:pPr>
      <w:rPr>
        <w:rFonts w:ascii="Calibri" w:eastAsia="Calibri" w:hAnsi="Calibri" w:cs="Calibri" w:hint="default"/>
        <w:spacing w:val="-24"/>
        <w:w w:val="100"/>
        <w:sz w:val="24"/>
        <w:szCs w:val="24"/>
        <w:lang w:val="en-US" w:eastAsia="en-US" w:bidi="en-US"/>
      </w:rPr>
    </w:lvl>
    <w:lvl w:ilvl="1" w:tplc="13DA11AC">
      <w:numFmt w:val="bullet"/>
      <w:lvlText w:val="•"/>
      <w:lvlJc w:val="left"/>
      <w:pPr>
        <w:ind w:left="2116" w:hanging="360"/>
      </w:pPr>
      <w:rPr>
        <w:rFonts w:hint="default"/>
        <w:lang w:val="en-US" w:eastAsia="en-US" w:bidi="en-US"/>
      </w:rPr>
    </w:lvl>
    <w:lvl w:ilvl="2" w:tplc="5B8CA4E8">
      <w:numFmt w:val="bullet"/>
      <w:lvlText w:val="•"/>
      <w:lvlJc w:val="left"/>
      <w:pPr>
        <w:ind w:left="2933" w:hanging="360"/>
      </w:pPr>
      <w:rPr>
        <w:rFonts w:hint="default"/>
        <w:lang w:val="en-US" w:eastAsia="en-US" w:bidi="en-US"/>
      </w:rPr>
    </w:lvl>
    <w:lvl w:ilvl="3" w:tplc="E2EAC10E">
      <w:numFmt w:val="bullet"/>
      <w:lvlText w:val="•"/>
      <w:lvlJc w:val="left"/>
      <w:pPr>
        <w:ind w:left="3749" w:hanging="360"/>
      </w:pPr>
      <w:rPr>
        <w:rFonts w:hint="default"/>
        <w:lang w:val="en-US" w:eastAsia="en-US" w:bidi="en-US"/>
      </w:rPr>
    </w:lvl>
    <w:lvl w:ilvl="4" w:tplc="DA4883C8">
      <w:numFmt w:val="bullet"/>
      <w:lvlText w:val="•"/>
      <w:lvlJc w:val="left"/>
      <w:pPr>
        <w:ind w:left="4566" w:hanging="360"/>
      </w:pPr>
      <w:rPr>
        <w:rFonts w:hint="default"/>
        <w:lang w:val="en-US" w:eastAsia="en-US" w:bidi="en-US"/>
      </w:rPr>
    </w:lvl>
    <w:lvl w:ilvl="5" w:tplc="1688C828">
      <w:numFmt w:val="bullet"/>
      <w:lvlText w:val="•"/>
      <w:lvlJc w:val="left"/>
      <w:pPr>
        <w:ind w:left="5383" w:hanging="360"/>
      </w:pPr>
      <w:rPr>
        <w:rFonts w:hint="default"/>
        <w:lang w:val="en-US" w:eastAsia="en-US" w:bidi="en-US"/>
      </w:rPr>
    </w:lvl>
    <w:lvl w:ilvl="6" w:tplc="224883F2">
      <w:numFmt w:val="bullet"/>
      <w:lvlText w:val="•"/>
      <w:lvlJc w:val="left"/>
      <w:pPr>
        <w:ind w:left="6199" w:hanging="360"/>
      </w:pPr>
      <w:rPr>
        <w:rFonts w:hint="default"/>
        <w:lang w:val="en-US" w:eastAsia="en-US" w:bidi="en-US"/>
      </w:rPr>
    </w:lvl>
    <w:lvl w:ilvl="7" w:tplc="44F000A6">
      <w:numFmt w:val="bullet"/>
      <w:lvlText w:val="•"/>
      <w:lvlJc w:val="left"/>
      <w:pPr>
        <w:ind w:left="7016" w:hanging="360"/>
      </w:pPr>
      <w:rPr>
        <w:rFonts w:hint="default"/>
        <w:lang w:val="en-US" w:eastAsia="en-US" w:bidi="en-US"/>
      </w:rPr>
    </w:lvl>
    <w:lvl w:ilvl="8" w:tplc="5EB6C5F8">
      <w:numFmt w:val="bullet"/>
      <w:lvlText w:val="•"/>
      <w:lvlJc w:val="left"/>
      <w:pPr>
        <w:ind w:left="7833" w:hanging="360"/>
      </w:pPr>
      <w:rPr>
        <w:rFonts w:hint="default"/>
        <w:lang w:val="en-US" w:eastAsia="en-US" w:bidi="en-US"/>
      </w:rPr>
    </w:lvl>
  </w:abstractNum>
  <w:num w:numId="1">
    <w:abstractNumId w:val="2"/>
  </w:num>
  <w:num w:numId="2">
    <w:abstractNumId w:val="1"/>
  </w:num>
  <w:num w:numId="3">
    <w:abstractNumId w:val="3"/>
  </w:num>
  <w:num w:numId="4">
    <w:abstractNumId w:val="8"/>
  </w:num>
  <w:num w:numId="5">
    <w:abstractNumId w:val="5"/>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8799E"/>
    <w:rsid w:val="00644457"/>
    <w:rsid w:val="008B671F"/>
    <w:rsid w:val="00E879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4A72ED71"/>
  <w15:docId w15:val="{17504EF5-066C-6C46-AB0B-0DE4F385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2"/>
      <w:ind w:left="220"/>
      <w:outlineLvl w:val="0"/>
    </w:pPr>
    <w:rPr>
      <w:b/>
      <w:bCs/>
      <w:sz w:val="32"/>
      <w:szCs w:val="32"/>
    </w:rPr>
  </w:style>
  <w:style w:type="paragraph" w:styleId="Heading2">
    <w:name w:val="heading 2"/>
    <w:basedOn w:val="Normal"/>
    <w:uiPriority w:val="1"/>
    <w:qFormat/>
    <w:pPr>
      <w:ind w:left="2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
      <w:jc w:val="both"/>
    </w:pPr>
  </w:style>
  <w:style w:type="paragraph" w:customStyle="1" w:styleId="TableParagraph">
    <w:name w:val="Table Paragraph"/>
    <w:basedOn w:val="Normal"/>
    <w:uiPriority w:val="1"/>
    <w:qFormat/>
    <w:pPr>
      <w:spacing w:line="366" w:lineRule="exact"/>
      <w:ind w:left="1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4272</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Kushal Pathak</cp:lastModifiedBy>
  <cp:revision>2</cp:revision>
  <dcterms:created xsi:type="dcterms:W3CDTF">2018-02-05T03:54:00Z</dcterms:created>
  <dcterms:modified xsi:type="dcterms:W3CDTF">2018-02-05T04:11:00Z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Creator">
    <vt:lpwstr>Microsoft® Office Word 2007</vt:lpwstr>
  </property>
  <property fmtid="{D5CDD505-2E9C-101B-9397-08002B2CF9AE}" pid="4" name="LastSaved">
    <vt:filetime>2018-02-05T00:00:00Z</vt:filetime>
  </property>
</Properties>
</file>